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60"/>
        <w:ind w:right="-178" w:rightChars="-85" w:firstLine="1240" w:firstLineChars="147"/>
        <w:jc w:val="center"/>
        <w:rPr>
          <w:rFonts w:ascii="Times New Roman" w:hAnsi="Times New Roman"/>
          <w:b/>
          <w:bCs/>
          <w:sz w:val="84"/>
          <w:szCs w:val="84"/>
        </w:rPr>
      </w:pPr>
      <w:bookmarkStart w:id="294" w:name="_GoBack"/>
      <w:bookmarkEnd w:id="294"/>
    </w:p>
    <w:p>
      <w:pPr>
        <w:adjustRightInd w:val="0"/>
        <w:snapToGrid w:val="0"/>
        <w:spacing w:after="60"/>
        <w:ind w:right="-178" w:rightChars="-85"/>
        <w:jc w:val="center"/>
        <w:rPr>
          <w:rFonts w:ascii="宋体" w:hAnsi="宋体"/>
          <w:b/>
          <w:bCs/>
          <w:sz w:val="52"/>
          <w:szCs w:val="52"/>
        </w:rPr>
      </w:pPr>
      <w:bookmarkStart w:id="0" w:name="_Hlk1990161"/>
      <w:r>
        <w:rPr>
          <w:rFonts w:hint="eastAsia" w:ascii="宋体" w:hAnsi="宋体"/>
          <w:b/>
          <w:bCs/>
          <w:sz w:val="52"/>
          <w:szCs w:val="52"/>
        </w:rPr>
        <w:t>东莞市轨道交通有限公司运营分公司2021年生产设备采购项目</w:t>
      </w:r>
    </w:p>
    <w:bookmarkEnd w:id="0"/>
    <w:p>
      <w:pPr>
        <w:jc w:val="center"/>
        <w:rPr>
          <w:rFonts w:ascii="Times New Roman" w:hAnsi="Times New Roman"/>
          <w:b/>
          <w:bCs/>
          <w:sz w:val="84"/>
          <w:szCs w:val="84"/>
        </w:rPr>
      </w:pPr>
    </w:p>
    <w:p>
      <w:pPr>
        <w:tabs>
          <w:tab w:val="left" w:pos="6015"/>
        </w:tabs>
        <w:spacing w:after="312" w:afterLines="100"/>
        <w:jc w:val="center"/>
        <w:rPr>
          <w:rFonts w:ascii="宋体" w:hAnsi="宋体"/>
          <w:b/>
          <w:bCs/>
          <w:spacing w:val="20"/>
          <w:sz w:val="52"/>
          <w:szCs w:val="52"/>
        </w:rPr>
      </w:pPr>
      <w:r>
        <w:rPr>
          <w:rFonts w:ascii="宋体" w:hAnsi="宋体"/>
          <w:b/>
          <w:bCs/>
          <w:spacing w:val="20"/>
          <w:sz w:val="52"/>
          <w:szCs w:val="52"/>
        </w:rPr>
        <w:t>招标文件</w:t>
      </w: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sz w:val="31"/>
          <w:szCs w:val="18"/>
        </w:rPr>
      </w:pPr>
    </w:p>
    <w:p>
      <w:pPr>
        <w:snapToGrid w:val="0"/>
        <w:spacing w:line="360" w:lineRule="auto"/>
        <w:ind w:firstLine="921" w:firstLineChars="296"/>
        <w:jc w:val="left"/>
        <w:rPr>
          <w:rFonts w:ascii="宋体" w:hAnsi="宋体"/>
          <w:b/>
          <w:bCs/>
          <w:sz w:val="31"/>
          <w:szCs w:val="18"/>
          <w:u w:val="single"/>
        </w:rPr>
      </w:pPr>
      <w:r>
        <w:rPr>
          <w:rFonts w:hint="eastAsia" w:ascii="宋体" w:hAnsi="宋体"/>
          <w:b/>
          <w:sz w:val="31"/>
          <w:szCs w:val="18"/>
        </w:rPr>
        <w:t>项目编号：</w:t>
      </w:r>
      <w:r>
        <w:rPr>
          <w:rFonts w:hint="eastAsia" w:ascii="宋体" w:hAnsi="宋体"/>
          <w:b/>
          <w:sz w:val="31"/>
          <w:szCs w:val="18"/>
          <w:u w:val="single"/>
        </w:rPr>
        <w:t>GXDG21016</w:t>
      </w:r>
    </w:p>
    <w:p>
      <w:pPr>
        <w:snapToGrid w:val="0"/>
        <w:spacing w:line="360" w:lineRule="auto"/>
        <w:ind w:firstLine="921" w:firstLineChars="296"/>
        <w:jc w:val="left"/>
        <w:rPr>
          <w:rFonts w:ascii="宋体" w:hAnsi="宋体"/>
          <w:b/>
          <w:bCs/>
          <w:sz w:val="31"/>
          <w:szCs w:val="18"/>
          <w:u w:val="single"/>
        </w:rPr>
      </w:pPr>
      <w:r>
        <w:rPr>
          <w:rFonts w:hint="eastAsia" w:ascii="宋体" w:hAnsi="宋体"/>
          <w:b/>
          <w:sz w:val="31"/>
          <w:szCs w:val="18"/>
        </w:rPr>
        <w:t>招标</w:t>
      </w:r>
      <w:r>
        <w:rPr>
          <w:rFonts w:ascii="宋体" w:hAnsi="宋体"/>
          <w:b/>
          <w:sz w:val="31"/>
          <w:szCs w:val="18"/>
        </w:rPr>
        <w:t>单位：</w:t>
      </w:r>
      <w:r>
        <w:rPr>
          <w:rFonts w:hint="eastAsia" w:ascii="宋体" w:hAnsi="宋体"/>
          <w:b/>
          <w:bCs/>
          <w:sz w:val="31"/>
          <w:szCs w:val="18"/>
          <w:u w:val="single"/>
        </w:rPr>
        <w:t>东莞市轨道交通有限公司</w:t>
      </w:r>
    </w:p>
    <w:p>
      <w:pPr>
        <w:snapToGrid w:val="0"/>
        <w:spacing w:line="360" w:lineRule="auto"/>
        <w:ind w:firstLine="934" w:firstLineChars="300"/>
        <w:rPr>
          <w:rFonts w:ascii="宋体" w:hAnsi="宋体"/>
          <w:b/>
          <w:sz w:val="31"/>
          <w:szCs w:val="18"/>
          <w:u w:val="single"/>
        </w:rPr>
      </w:pPr>
      <w:r>
        <w:rPr>
          <w:rFonts w:hint="eastAsia" w:ascii="宋体" w:hAnsi="宋体"/>
          <w:b/>
          <w:sz w:val="31"/>
          <w:szCs w:val="18"/>
        </w:rPr>
        <w:t>招标</w:t>
      </w:r>
      <w:r>
        <w:rPr>
          <w:rFonts w:ascii="宋体" w:hAnsi="宋体"/>
          <w:b/>
          <w:sz w:val="31"/>
          <w:szCs w:val="18"/>
        </w:rPr>
        <w:t>代理机构：</w:t>
      </w:r>
      <w:r>
        <w:rPr>
          <w:rFonts w:ascii="Times New Roman" w:hAnsi="Times New Roman"/>
          <w:b/>
          <w:color w:val="auto"/>
          <w:sz w:val="31"/>
          <w:szCs w:val="18"/>
          <w:u w:val="single"/>
        </w:rPr>
        <w:t>深圳市国信招标有限公司</w:t>
      </w:r>
    </w:p>
    <w:p>
      <w:pPr>
        <w:snapToGrid w:val="0"/>
        <w:spacing w:line="360" w:lineRule="auto"/>
        <w:ind w:firstLine="934" w:firstLineChars="300"/>
        <w:rPr>
          <w:rFonts w:ascii="宋体" w:hAnsi="宋体"/>
          <w:b/>
          <w:bCs/>
          <w:sz w:val="31"/>
          <w:szCs w:val="18"/>
          <w:u w:val="single"/>
        </w:rPr>
      </w:pPr>
      <w:r>
        <w:rPr>
          <w:rFonts w:hint="eastAsia" w:ascii="宋体" w:hAnsi="宋体"/>
          <w:b/>
          <w:bCs/>
          <w:sz w:val="31"/>
          <w:szCs w:val="18"/>
        </w:rPr>
        <w:t>监督单位：</w:t>
      </w:r>
      <w:bookmarkStart w:id="1" w:name="_Hlk1990192"/>
      <w:r>
        <w:rPr>
          <w:rFonts w:hint="eastAsia" w:ascii="宋体" w:hAnsi="宋体"/>
          <w:b/>
          <w:bCs/>
          <w:sz w:val="31"/>
          <w:szCs w:val="18"/>
        </w:rPr>
        <w:t>东莞市轨道交通有限公司纪检监察部</w:t>
      </w:r>
      <w:bookmarkEnd w:id="1"/>
    </w:p>
    <w:p>
      <w:pPr>
        <w:spacing w:line="600" w:lineRule="exact"/>
        <w:jc w:val="center"/>
        <w:rPr>
          <w:rFonts w:ascii="Times New Roman" w:hAnsi="Times New Roman"/>
          <w:b/>
          <w:bCs/>
          <w:spacing w:val="26"/>
          <w:sz w:val="31"/>
        </w:rPr>
      </w:pPr>
      <w:r>
        <w:rPr>
          <w:rFonts w:hint="eastAsia" w:ascii="Times New Roman" w:hAnsi="Times New Roman"/>
          <w:b/>
          <w:bCs/>
          <w:spacing w:val="26"/>
          <w:sz w:val="31"/>
        </w:rPr>
        <w:t xml:space="preserve"> </w:t>
      </w:r>
      <w:r>
        <w:rPr>
          <w:rFonts w:ascii="Times New Roman" w:hAnsi="Times New Roman"/>
          <w:b/>
          <w:bCs/>
          <w:spacing w:val="26"/>
          <w:sz w:val="31"/>
        </w:rPr>
        <w:t xml:space="preserve"> </w:t>
      </w:r>
      <w:r>
        <w:rPr>
          <w:rFonts w:hint="eastAsia" w:ascii="Times New Roman" w:hAnsi="Times New Roman"/>
          <w:b/>
          <w:bCs/>
          <w:spacing w:val="26"/>
          <w:sz w:val="31"/>
          <w:lang w:val="en-US" w:eastAsia="zh-CN"/>
        </w:rPr>
        <w:t>2021</w:t>
      </w:r>
      <w:r>
        <w:rPr>
          <w:rFonts w:ascii="Times New Roman" w:hAnsi="Times New Roman"/>
          <w:b/>
          <w:bCs/>
          <w:spacing w:val="26"/>
          <w:sz w:val="31"/>
        </w:rPr>
        <w:t>年</w:t>
      </w:r>
      <w:r>
        <w:rPr>
          <w:rFonts w:hint="eastAsia" w:ascii="Times New Roman" w:hAnsi="Times New Roman"/>
          <w:b/>
          <w:bCs/>
          <w:spacing w:val="26"/>
          <w:sz w:val="31"/>
          <w:lang w:val="en-US" w:eastAsia="zh-CN"/>
        </w:rPr>
        <w:t>8</w:t>
      </w:r>
      <w:r>
        <w:rPr>
          <w:rFonts w:ascii="Times New Roman" w:hAnsi="Times New Roman"/>
          <w:b/>
          <w:bCs/>
          <w:spacing w:val="26"/>
          <w:sz w:val="31"/>
        </w:rPr>
        <w:t>月</w:t>
      </w:r>
      <w:r>
        <w:rPr>
          <w:rFonts w:ascii="Times New Roman" w:hAnsi="Times New Roman" w:eastAsia="宋体"/>
          <w:b/>
          <w:bCs/>
          <w:sz w:val="32"/>
          <w:szCs w:val="32"/>
        </w:rPr>
        <w:br w:type="page"/>
      </w:r>
    </w:p>
    <w:p>
      <w:pPr>
        <w:pStyle w:val="254"/>
        <w:tabs>
          <w:tab w:val="center" w:pos="4575"/>
          <w:tab w:val="left" w:pos="6390"/>
        </w:tabs>
        <w:spacing w:line="360" w:lineRule="auto"/>
        <w:rPr>
          <w:rFonts w:ascii="宋体" w:hAnsi="宋体" w:eastAsia="宋体" w:cs="Times New Roman"/>
          <w:b w:val="0"/>
          <w:color w:val="auto"/>
          <w:sz w:val="22"/>
          <w:szCs w:val="22"/>
        </w:rPr>
      </w:pPr>
      <w:r>
        <w:rPr>
          <w:rFonts w:ascii="Times New Roman" w:hAnsi="Times New Roman" w:eastAsia="宋体" w:cs="Times New Roman"/>
          <w:b w:val="0"/>
          <w:bCs w:val="0"/>
          <w:color w:val="auto"/>
          <w:kern w:val="2"/>
          <w:sz w:val="21"/>
          <w:szCs w:val="24"/>
          <w:lang w:val="zh-CN"/>
        </w:rPr>
        <w:tab/>
      </w:r>
      <w:r>
        <w:rPr>
          <w:rFonts w:ascii="宋体" w:hAnsi="宋体" w:eastAsia="宋体" w:cs="Times New Roman"/>
          <w:b w:val="0"/>
          <w:color w:val="auto"/>
          <w:sz w:val="22"/>
          <w:szCs w:val="22"/>
          <w:lang w:val="zh-CN"/>
        </w:rPr>
        <w:t>目录</w:t>
      </w:r>
    </w:p>
    <w:p>
      <w:pPr>
        <w:pStyle w:val="33"/>
        <w:tabs>
          <w:tab w:val="right" w:leader="dot" w:pos="9288"/>
        </w:tabs>
        <w:spacing w:line="360" w:lineRule="auto"/>
        <w:rPr>
          <w:rFonts w:ascii="宋体" w:hAnsi="宋体" w:cs="Times New Roman"/>
          <w:sz w:val="22"/>
          <w:szCs w:val="22"/>
        </w:rPr>
      </w:pPr>
      <w:r>
        <w:rPr>
          <w:rFonts w:ascii="宋体" w:hAnsi="宋体"/>
          <w:sz w:val="22"/>
          <w:szCs w:val="22"/>
        </w:rPr>
        <w:fldChar w:fldCharType="begin"/>
      </w:r>
      <w:r>
        <w:rPr>
          <w:rFonts w:ascii="宋体" w:hAnsi="宋体"/>
          <w:sz w:val="22"/>
          <w:szCs w:val="22"/>
        </w:rPr>
        <w:instrText xml:space="preserve"> TOC \o "1-3" \h \z \u </w:instrText>
      </w:r>
      <w:r>
        <w:rPr>
          <w:rFonts w:ascii="宋体" w:hAnsi="宋体"/>
          <w:sz w:val="22"/>
          <w:szCs w:val="22"/>
        </w:rPr>
        <w:fldChar w:fldCharType="separate"/>
      </w:r>
      <w:r>
        <w:fldChar w:fldCharType="begin"/>
      </w:r>
      <w:r>
        <w:instrText xml:space="preserve"> HYPERLINK \l "_Toc61529804" </w:instrText>
      </w:r>
      <w:r>
        <w:fldChar w:fldCharType="separate"/>
      </w:r>
      <w:r>
        <w:rPr>
          <w:rStyle w:val="59"/>
          <w:rFonts w:hint="eastAsia" w:ascii="宋体" w:hAnsi="宋体"/>
          <w:sz w:val="22"/>
          <w:szCs w:val="22"/>
        </w:rPr>
        <w:t>第一章</w:t>
      </w:r>
      <w:r>
        <w:rPr>
          <w:rStyle w:val="59"/>
          <w:rFonts w:ascii="宋体" w:hAnsi="宋体"/>
          <w:sz w:val="22"/>
          <w:szCs w:val="22"/>
        </w:rPr>
        <w:t xml:space="preserve">  </w:t>
      </w:r>
      <w:r>
        <w:rPr>
          <w:rStyle w:val="59"/>
          <w:rFonts w:hint="eastAsia" w:ascii="宋体" w:hAnsi="宋体"/>
          <w:sz w:val="22"/>
          <w:szCs w:val="22"/>
        </w:rPr>
        <w:t>投标邀请</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_Toc61529804 \h </w:instrText>
      </w:r>
      <w:r>
        <w:rPr>
          <w:rFonts w:ascii="宋体" w:hAnsi="宋体"/>
          <w:sz w:val="22"/>
          <w:szCs w:val="22"/>
        </w:rPr>
        <w:fldChar w:fldCharType="separate"/>
      </w:r>
      <w:r>
        <w:rPr>
          <w:rFonts w:ascii="宋体" w:hAnsi="宋体"/>
          <w:sz w:val="22"/>
          <w:szCs w:val="22"/>
        </w:rPr>
        <w:t>6</w:t>
      </w:r>
      <w:r>
        <w:rPr>
          <w:rFonts w:ascii="宋体" w:hAnsi="宋体"/>
          <w:sz w:val="22"/>
          <w:szCs w:val="22"/>
        </w:rPr>
        <w:fldChar w:fldCharType="end"/>
      </w:r>
      <w:r>
        <w:rPr>
          <w:rFonts w:ascii="宋体" w:hAnsi="宋体"/>
          <w:sz w:val="22"/>
          <w:szCs w:val="22"/>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"_Toc61529805" </w:instrText>
      </w:r>
      <w:r>
        <w:fldChar w:fldCharType="separate"/>
      </w:r>
      <w:r>
        <w:rPr>
          <w:rStyle w:val="59"/>
          <w:rFonts w:hint="eastAsia" w:ascii="宋体" w:hAnsi="宋体" w:eastAsia="宋体"/>
        </w:rPr>
        <w:t>一、</w:t>
      </w:r>
      <w:r>
        <w:rPr>
          <w:rStyle w:val="59"/>
          <w:rFonts w:ascii="宋体" w:hAnsi="宋体" w:eastAsia="宋体"/>
        </w:rPr>
        <w:t xml:space="preserve"> </w:t>
      </w:r>
      <w:r>
        <w:rPr>
          <w:rStyle w:val="59"/>
          <w:rFonts w:hint="eastAsia" w:ascii="宋体" w:hAnsi="宋体" w:eastAsia="宋体"/>
        </w:rPr>
        <w:t>投标邀请函</w:t>
      </w:r>
      <w:r>
        <w:rPr>
          <w:rFonts w:ascii="宋体" w:hAnsi="宋体" w:eastAsia="宋体"/>
        </w:rPr>
        <w:tab/>
      </w:r>
      <w:r>
        <w:rPr>
          <w:rFonts w:ascii="宋体" w:hAnsi="宋体" w:eastAsia="宋体"/>
        </w:rPr>
        <w:fldChar w:fldCharType="begin"/>
      </w:r>
      <w:r>
        <w:rPr>
          <w:rFonts w:ascii="宋体" w:hAnsi="宋体" w:eastAsia="宋体"/>
        </w:rPr>
        <w:instrText xml:space="preserve"> PAGEREF _Toc61529805 \h </w:instrText>
      </w:r>
      <w:r>
        <w:rPr>
          <w:rFonts w:ascii="宋体" w:hAnsi="宋体" w:eastAsia="宋体"/>
        </w:rPr>
        <w:fldChar w:fldCharType="separate"/>
      </w:r>
      <w:r>
        <w:rPr>
          <w:rFonts w:ascii="宋体" w:hAnsi="宋体" w:eastAsia="宋体"/>
        </w:rPr>
        <w:t>7</w:t>
      </w:r>
      <w:r>
        <w:rPr>
          <w:rFonts w:ascii="宋体" w:hAnsi="宋体" w:eastAsia="宋体"/>
        </w:rPr>
        <w:fldChar w:fldCharType="end"/>
      </w:r>
      <w:r>
        <w:rPr>
          <w:rFonts w:ascii="宋体" w:hAnsi="宋体" w:eastAsia="宋体"/>
        </w:rPr>
        <w:fldChar w:fldCharType="end"/>
      </w:r>
    </w:p>
    <w:p>
      <w:pPr>
        <w:pStyle w:val="33"/>
        <w:tabs>
          <w:tab w:val="left" w:pos="851"/>
          <w:tab w:val="right" w:leader="dot" w:pos="9288"/>
        </w:tabs>
        <w:spacing w:line="360" w:lineRule="auto"/>
        <w:rPr>
          <w:rFonts w:ascii="宋体" w:hAnsi="宋体" w:cs="Times New Roman"/>
          <w:sz w:val="22"/>
          <w:szCs w:val="22"/>
        </w:rPr>
      </w:pPr>
      <w:r>
        <w:fldChar w:fldCharType="begin"/>
      </w:r>
      <w:r>
        <w:instrText xml:space="preserve"> HYPERLINK \l "_Toc61529806" </w:instrText>
      </w:r>
      <w:r>
        <w:fldChar w:fldCharType="separate"/>
      </w:r>
      <w:r>
        <w:rPr>
          <w:rStyle w:val="59"/>
          <w:rFonts w:hint="eastAsia" w:ascii="宋体" w:hAnsi="宋体"/>
          <w:sz w:val="22"/>
          <w:szCs w:val="22"/>
        </w:rPr>
        <w:t>第二章</w:t>
      </w:r>
      <w:r>
        <w:rPr>
          <w:rFonts w:ascii="宋体" w:hAnsi="宋体" w:cs="Times New Roman"/>
          <w:sz w:val="22"/>
          <w:szCs w:val="22"/>
        </w:rPr>
        <w:tab/>
      </w:r>
      <w:r>
        <w:rPr>
          <w:rStyle w:val="59"/>
          <w:rFonts w:hint="eastAsia" w:ascii="宋体" w:hAnsi="宋体"/>
          <w:sz w:val="22"/>
          <w:szCs w:val="22"/>
        </w:rPr>
        <w:t>投标人须知</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_Toc61529806 \h </w:instrText>
      </w:r>
      <w:r>
        <w:rPr>
          <w:rFonts w:ascii="宋体" w:hAnsi="宋体"/>
          <w:sz w:val="22"/>
          <w:szCs w:val="22"/>
        </w:rPr>
        <w:fldChar w:fldCharType="separate"/>
      </w:r>
      <w:r>
        <w:rPr>
          <w:rFonts w:ascii="宋体" w:hAnsi="宋体"/>
          <w:sz w:val="22"/>
          <w:szCs w:val="22"/>
        </w:rPr>
        <w:t>9</w:t>
      </w:r>
      <w:r>
        <w:rPr>
          <w:rFonts w:ascii="宋体" w:hAnsi="宋体"/>
          <w:sz w:val="22"/>
          <w:szCs w:val="22"/>
        </w:rPr>
        <w:fldChar w:fldCharType="end"/>
      </w:r>
      <w:r>
        <w:rPr>
          <w:rFonts w:ascii="宋体" w:hAnsi="宋体"/>
          <w:sz w:val="22"/>
          <w:szCs w:val="22"/>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"_Toc61529807" </w:instrText>
      </w:r>
      <w:r>
        <w:fldChar w:fldCharType="separate"/>
      </w:r>
      <w:r>
        <w:rPr>
          <w:rStyle w:val="59"/>
          <w:rFonts w:hint="eastAsia" w:ascii="宋体" w:hAnsi="宋体" w:eastAsia="宋体"/>
          <w:kern w:val="44"/>
          <w:lang w:val="zh-CN"/>
        </w:rPr>
        <w:t>一、投标人须知前附表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_Toc61529807 \h </w:instrText>
      </w:r>
      <w:r>
        <w:rPr>
          <w:rFonts w:ascii="宋体" w:hAnsi="宋体" w:eastAsia="宋体"/>
        </w:rPr>
        <w:fldChar w:fldCharType="separate"/>
      </w:r>
      <w:r>
        <w:rPr>
          <w:rFonts w:ascii="宋体" w:hAnsi="宋体" w:eastAsia="宋体"/>
        </w:rPr>
        <w:t>10</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"_Toc61529808" </w:instrText>
      </w:r>
      <w:r>
        <w:fldChar w:fldCharType="separate"/>
      </w:r>
      <w:r>
        <w:rPr>
          <w:rStyle w:val="59"/>
          <w:rFonts w:hint="eastAsia" w:ascii="宋体" w:hAnsi="宋体" w:eastAsia="宋体"/>
          <w:kern w:val="44"/>
          <w:lang w:val="zh-CN"/>
        </w:rPr>
        <w:t>二、投标人须知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_Toc61529808 \h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"_Toc61529809" </w:instrText>
      </w:r>
      <w:r>
        <w:fldChar w:fldCharType="separate"/>
      </w:r>
      <w:r>
        <w:rPr>
          <w:rStyle w:val="59"/>
          <w:rFonts w:hint="eastAsia" w:ascii="宋体" w:hAnsi="宋体" w:eastAsia="宋体"/>
          <w:lang w:val="zh-CN"/>
        </w:rPr>
        <w:t>（一）总则</w:t>
      </w:r>
      <w:r>
        <w:rPr>
          <w:rFonts w:ascii="宋体" w:hAnsi="宋体" w:eastAsia="宋体"/>
        </w:rPr>
        <w:tab/>
      </w:r>
      <w:r>
        <w:rPr>
          <w:rFonts w:ascii="宋体" w:hAnsi="宋体" w:eastAsia="宋体"/>
        </w:rPr>
        <w:fldChar w:fldCharType="begin"/>
      </w:r>
      <w:r>
        <w:rPr>
          <w:rFonts w:ascii="宋体" w:hAnsi="宋体" w:eastAsia="宋体"/>
        </w:rPr>
        <w:instrText xml:space="preserve"> PAGEREF _Toc61529809 \h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"_Toc61529810" </w:instrText>
      </w:r>
      <w:r>
        <w:fldChar w:fldCharType="separate"/>
      </w:r>
      <w:r>
        <w:rPr>
          <w:rStyle w:val="59"/>
          <w:rFonts w:ascii="宋体" w:hAnsi="宋体" w:eastAsia="宋体"/>
        </w:rPr>
        <w:t>1.招标范围及资金来源</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_Toc61529810 \h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"_Toc61529811" </w:instrText>
      </w:r>
      <w:r>
        <w:fldChar w:fldCharType="separate"/>
      </w:r>
      <w:r>
        <w:rPr>
          <w:rStyle w:val="59"/>
          <w:rFonts w:ascii="宋体" w:hAnsi="宋体" w:eastAsia="宋体"/>
        </w:rPr>
        <w:t>2.定义</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_Toc61529811 \h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"_Toc61529812" </w:instrText>
      </w:r>
      <w:r>
        <w:fldChar w:fldCharType="separate"/>
      </w:r>
      <w:r>
        <w:rPr>
          <w:rStyle w:val="59"/>
          <w:rFonts w:ascii="宋体" w:hAnsi="宋体" w:eastAsia="宋体"/>
        </w:rPr>
        <w:t>3.</w:t>
      </w:r>
      <w:r>
        <w:rPr>
          <w:rStyle w:val="59"/>
          <w:rFonts w:hint="eastAsia" w:ascii="宋体" w:hAnsi="宋体" w:eastAsia="宋体"/>
        </w:rPr>
        <w:t>合格的投标人</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_Toc61529812 \h </w:instrText>
      </w:r>
      <w:r>
        <w:rPr>
          <w:rFonts w:ascii="宋体" w:hAnsi="宋体" w:eastAsia="宋体"/>
        </w:rPr>
        <w:fldChar w:fldCharType="separate"/>
      </w:r>
      <w:r>
        <w:rPr>
          <w:rFonts w:ascii="宋体" w:hAnsi="宋体" w:eastAsia="宋体"/>
        </w:rPr>
        <w:t>13</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"_Toc61529813" </w:instrText>
      </w:r>
      <w:r>
        <w:fldChar w:fldCharType="separate"/>
      </w:r>
      <w:r>
        <w:rPr>
          <w:rStyle w:val="59"/>
          <w:rFonts w:ascii="宋体" w:hAnsi="宋体" w:eastAsia="宋体"/>
        </w:rPr>
        <w:t>4.合格的货物和服务及验收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_Toc61529813 \h </w:instrText>
      </w:r>
      <w:r>
        <w:rPr>
          <w:rFonts w:ascii="宋体" w:hAnsi="宋体" w:eastAsia="宋体"/>
        </w:rPr>
        <w:fldChar w:fldCharType="separate"/>
      </w:r>
      <w:r>
        <w:rPr>
          <w:rFonts w:ascii="宋体" w:hAnsi="宋体" w:eastAsia="宋体"/>
        </w:rPr>
        <w:t>13</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"_Toc61529814" </w:instrText>
      </w:r>
      <w:r>
        <w:fldChar w:fldCharType="separate"/>
      </w:r>
      <w:r>
        <w:rPr>
          <w:rStyle w:val="59"/>
          <w:rFonts w:ascii="宋体" w:hAnsi="宋体" w:eastAsia="宋体"/>
        </w:rPr>
        <w:t>5.投标费用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_Toc61529814 \h </w:instrText>
      </w:r>
      <w:r>
        <w:rPr>
          <w:rFonts w:ascii="宋体" w:hAnsi="宋体" w:eastAsia="宋体"/>
        </w:rPr>
        <w:fldChar w:fldCharType="separate"/>
      </w:r>
      <w:r>
        <w:rPr>
          <w:rFonts w:ascii="宋体" w:hAnsi="宋体" w:eastAsia="宋体"/>
        </w:rPr>
        <w:t>14</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"_Toc61529815" </w:instrText>
      </w:r>
      <w:r>
        <w:fldChar w:fldCharType="separate"/>
      </w:r>
      <w:r>
        <w:rPr>
          <w:rStyle w:val="59"/>
          <w:rFonts w:ascii="宋体" w:hAnsi="宋体" w:eastAsia="宋体"/>
        </w:rPr>
        <w:t>6.踏勘现场</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_Toc61529815 \h </w:instrText>
      </w:r>
      <w:r>
        <w:rPr>
          <w:rFonts w:ascii="宋体" w:hAnsi="宋体" w:eastAsia="宋体"/>
        </w:rPr>
        <w:fldChar w:fldCharType="separate"/>
      </w:r>
      <w:r>
        <w:rPr>
          <w:rFonts w:ascii="宋体" w:hAnsi="宋体" w:eastAsia="宋体"/>
        </w:rPr>
        <w:t>15</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"_Toc61529816" </w:instrText>
      </w:r>
      <w:r>
        <w:fldChar w:fldCharType="separate"/>
      </w:r>
      <w:r>
        <w:rPr>
          <w:rStyle w:val="59"/>
          <w:rFonts w:hint="eastAsia" w:ascii="宋体" w:hAnsi="宋体" w:eastAsia="宋体"/>
          <w:lang w:val="zh-CN"/>
        </w:rPr>
        <w:t>（二）招标文件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_Toc61529816 \h </w:instrText>
      </w:r>
      <w:r>
        <w:rPr>
          <w:rFonts w:ascii="宋体" w:hAnsi="宋体" w:eastAsia="宋体"/>
        </w:rPr>
        <w:fldChar w:fldCharType="separate"/>
      </w:r>
      <w:r>
        <w:rPr>
          <w:rFonts w:ascii="宋体" w:hAnsi="宋体" w:eastAsia="宋体"/>
        </w:rPr>
        <w:t>16</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"_Toc61529817" </w:instrText>
      </w:r>
      <w:r>
        <w:fldChar w:fldCharType="separate"/>
      </w:r>
      <w:r>
        <w:rPr>
          <w:rStyle w:val="59"/>
          <w:rFonts w:ascii="宋体" w:hAnsi="宋体" w:eastAsia="宋体"/>
        </w:rPr>
        <w:t>7.</w:t>
      </w:r>
      <w:r>
        <w:rPr>
          <w:rStyle w:val="59"/>
          <w:rFonts w:hint="eastAsia" w:ascii="宋体" w:hAnsi="宋体" w:eastAsia="宋体"/>
        </w:rPr>
        <w:t>招标文件的组成</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_Toc61529817 \h </w:instrText>
      </w:r>
      <w:r>
        <w:rPr>
          <w:rFonts w:ascii="宋体" w:hAnsi="宋体" w:eastAsia="宋体"/>
        </w:rPr>
        <w:fldChar w:fldCharType="separate"/>
      </w:r>
      <w:r>
        <w:rPr>
          <w:rFonts w:ascii="宋体" w:hAnsi="宋体" w:eastAsia="宋体"/>
        </w:rPr>
        <w:t>16</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"_Toc61529818" </w:instrText>
      </w:r>
      <w:r>
        <w:fldChar w:fldCharType="separate"/>
      </w:r>
      <w:r>
        <w:rPr>
          <w:rStyle w:val="59"/>
          <w:rFonts w:ascii="宋体" w:hAnsi="宋体" w:eastAsia="宋体"/>
        </w:rPr>
        <w:t>8.招标文件的异议</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_Toc61529818 \h </w:instrText>
      </w:r>
      <w:r>
        <w:rPr>
          <w:rFonts w:ascii="宋体" w:hAnsi="宋体" w:eastAsia="宋体"/>
        </w:rPr>
        <w:fldChar w:fldCharType="separate"/>
      </w:r>
      <w:r>
        <w:rPr>
          <w:rFonts w:ascii="宋体" w:hAnsi="宋体" w:eastAsia="宋体"/>
        </w:rPr>
        <w:t>16</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"_Toc61529819" </w:instrText>
      </w:r>
      <w:r>
        <w:fldChar w:fldCharType="separate"/>
      </w:r>
      <w:r>
        <w:rPr>
          <w:rStyle w:val="59"/>
          <w:rFonts w:ascii="宋体" w:hAnsi="宋体" w:eastAsia="宋体"/>
        </w:rPr>
        <w:t>9.招标文件的澄清及修改</w:t>
      </w:r>
      <w:r>
        <w:rPr>
          <w:rFonts w:ascii="宋体" w:hAnsi="宋体" w:eastAsia="宋体"/>
        </w:rPr>
        <w:tab/>
      </w:r>
      <w:r>
        <w:rPr>
          <w:rFonts w:ascii="宋体" w:hAnsi="宋体" w:eastAsia="宋体"/>
        </w:rPr>
        <w:fldChar w:fldCharType="begin"/>
      </w:r>
      <w:r>
        <w:rPr>
          <w:rFonts w:ascii="宋体" w:hAnsi="宋体" w:eastAsia="宋体"/>
        </w:rPr>
        <w:instrText xml:space="preserve"> PAGEREF _Toc61529819 \h </w:instrText>
      </w:r>
      <w:r>
        <w:rPr>
          <w:rFonts w:ascii="宋体" w:hAnsi="宋体" w:eastAsia="宋体"/>
        </w:rPr>
        <w:fldChar w:fldCharType="separate"/>
      </w:r>
      <w:r>
        <w:rPr>
          <w:rFonts w:ascii="宋体" w:hAnsi="宋体" w:eastAsia="宋体"/>
        </w:rPr>
        <w:t>16</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"_Toc61529820" </w:instrText>
      </w:r>
      <w:r>
        <w:fldChar w:fldCharType="separate"/>
      </w:r>
      <w:r>
        <w:rPr>
          <w:rStyle w:val="59"/>
          <w:rFonts w:ascii="宋体" w:hAnsi="宋体" w:eastAsia="宋体"/>
          <w:lang w:val="zh-CN"/>
        </w:rPr>
        <w:t>（三）投标文件编制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_Toc61529820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"_Toc61529821" </w:instrText>
      </w:r>
      <w:r>
        <w:fldChar w:fldCharType="separate"/>
      </w:r>
      <w:r>
        <w:rPr>
          <w:rStyle w:val="59"/>
          <w:rFonts w:ascii="宋体" w:hAnsi="宋体" w:eastAsia="宋体"/>
        </w:rPr>
        <w:t>10.投标文件的语言及度量衡单位</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_Toc61529821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"_Toc61529822" </w:instrText>
      </w:r>
      <w:r>
        <w:fldChar w:fldCharType="separate"/>
      </w:r>
      <w:r>
        <w:rPr>
          <w:rStyle w:val="59"/>
          <w:rFonts w:ascii="宋体" w:hAnsi="宋体" w:eastAsia="宋体"/>
        </w:rPr>
        <w:t>11.投标文件构成</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_Toc61529822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"_Toc61529823" </w:instrText>
      </w:r>
      <w:r>
        <w:fldChar w:fldCharType="separate"/>
      </w:r>
      <w:r>
        <w:rPr>
          <w:rStyle w:val="59"/>
          <w:rFonts w:ascii="宋体" w:hAnsi="宋体" w:eastAsia="宋体"/>
        </w:rPr>
        <w:t>12.投标文件格式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_Toc61529823 \h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"_Toc61529824" </w:instrText>
      </w:r>
      <w:r>
        <w:fldChar w:fldCharType="separate"/>
      </w:r>
      <w:r>
        <w:rPr>
          <w:rStyle w:val="59"/>
          <w:rFonts w:ascii="宋体" w:hAnsi="宋体" w:eastAsia="宋体"/>
        </w:rPr>
        <w:t>13.投标文件的份数和签署</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_Toc61529824 \h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"_Toc61529825" </w:instrText>
      </w:r>
      <w:r>
        <w:fldChar w:fldCharType="separate"/>
      </w:r>
      <w:r>
        <w:rPr>
          <w:rStyle w:val="59"/>
          <w:rFonts w:ascii="宋体" w:hAnsi="宋体" w:eastAsia="宋体"/>
        </w:rPr>
        <w:t>14.投标报价和货币</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_Toc61529825 \h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"_Toc61529826" </w:instrText>
      </w:r>
      <w:r>
        <w:fldChar w:fldCharType="separate"/>
      </w:r>
      <w:r>
        <w:rPr>
          <w:rStyle w:val="59"/>
          <w:rFonts w:ascii="宋体" w:hAnsi="宋体" w:eastAsia="宋体"/>
        </w:rPr>
        <w:t>15.证明货物和服务的合格性和符合招标文件规定的文件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_Toc61529826 \h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"_Toc61529827" </w:instrText>
      </w:r>
      <w:r>
        <w:fldChar w:fldCharType="separate"/>
      </w:r>
      <w:r>
        <w:rPr>
          <w:rStyle w:val="59"/>
          <w:rFonts w:ascii="宋体" w:hAnsi="宋体" w:eastAsia="宋体"/>
        </w:rPr>
        <w:t>16.投标保证金</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_Toc61529827 \h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"_Toc61529828" </w:instrText>
      </w:r>
      <w:r>
        <w:fldChar w:fldCharType="separate"/>
      </w:r>
      <w:r>
        <w:rPr>
          <w:rStyle w:val="59"/>
          <w:rFonts w:ascii="宋体" w:hAnsi="宋体" w:eastAsia="宋体"/>
        </w:rPr>
        <w:t>17.投标有效期</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_Toc61529828 \h </w:instrText>
      </w:r>
      <w:r>
        <w:rPr>
          <w:rFonts w:ascii="宋体" w:hAnsi="宋体" w:eastAsia="宋体"/>
        </w:rPr>
        <w:fldChar w:fldCharType="separate"/>
      </w:r>
      <w:r>
        <w:rPr>
          <w:rFonts w:ascii="宋体" w:hAnsi="宋体" w:eastAsia="宋体"/>
        </w:rPr>
        <w:t>21</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"_Toc61529829" </w:instrText>
      </w:r>
      <w:r>
        <w:fldChar w:fldCharType="separate"/>
      </w:r>
      <w:r>
        <w:rPr>
          <w:rStyle w:val="59"/>
          <w:rFonts w:ascii="宋体" w:hAnsi="宋体" w:eastAsia="宋体"/>
          <w:lang w:val="zh-CN"/>
        </w:rPr>
        <w:t>（四）投标文件的递交</w:t>
      </w:r>
      <w:r>
        <w:rPr>
          <w:rFonts w:ascii="宋体" w:hAnsi="宋体" w:eastAsia="宋体"/>
        </w:rPr>
        <w:tab/>
      </w:r>
      <w:r>
        <w:rPr>
          <w:rFonts w:ascii="宋体" w:hAnsi="宋体" w:eastAsia="宋体"/>
        </w:rPr>
        <w:fldChar w:fldCharType="begin"/>
      </w:r>
      <w:r>
        <w:rPr>
          <w:rFonts w:ascii="宋体" w:hAnsi="宋体" w:eastAsia="宋体"/>
        </w:rPr>
        <w:instrText xml:space="preserve"> PAGEREF _Toc61529829 \h </w:instrText>
      </w:r>
      <w:r>
        <w:rPr>
          <w:rFonts w:ascii="宋体" w:hAnsi="宋体" w:eastAsia="宋体"/>
        </w:rPr>
        <w:fldChar w:fldCharType="separate"/>
      </w:r>
      <w:r>
        <w:rPr>
          <w:rFonts w:ascii="宋体" w:hAnsi="宋体" w:eastAsia="宋体"/>
        </w:rPr>
        <w:t>21</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"_Toc61529830" </w:instrText>
      </w:r>
      <w:r>
        <w:fldChar w:fldCharType="separate"/>
      </w:r>
      <w:r>
        <w:rPr>
          <w:rStyle w:val="59"/>
          <w:rFonts w:ascii="宋体" w:hAnsi="宋体" w:eastAsia="宋体"/>
        </w:rPr>
        <w:t>18.投标文件的装订、密封和标记</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_Toc61529830 \h </w:instrText>
      </w:r>
      <w:r>
        <w:rPr>
          <w:rFonts w:ascii="宋体" w:hAnsi="宋体" w:eastAsia="宋体"/>
        </w:rPr>
        <w:fldChar w:fldCharType="separate"/>
      </w:r>
      <w:r>
        <w:rPr>
          <w:rFonts w:ascii="宋体" w:hAnsi="宋体" w:eastAsia="宋体"/>
        </w:rPr>
        <w:t>21</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"_Toc61529831" </w:instrText>
      </w:r>
      <w:r>
        <w:fldChar w:fldCharType="separate"/>
      </w:r>
      <w:r>
        <w:rPr>
          <w:rStyle w:val="59"/>
          <w:rFonts w:ascii="宋体" w:hAnsi="宋体" w:eastAsia="宋体"/>
        </w:rPr>
        <w:t>19.投标截止时间</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_Toc61529831 \h </w:instrText>
      </w:r>
      <w:r>
        <w:rPr>
          <w:rFonts w:ascii="宋体" w:hAnsi="宋体" w:eastAsia="宋体"/>
        </w:rPr>
        <w:fldChar w:fldCharType="separate"/>
      </w:r>
      <w:r>
        <w:rPr>
          <w:rFonts w:ascii="宋体" w:hAnsi="宋体" w:eastAsia="宋体"/>
        </w:rPr>
        <w:t>22</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"_Toc61529832" </w:instrText>
      </w:r>
      <w:r>
        <w:fldChar w:fldCharType="separate"/>
      </w:r>
      <w:r>
        <w:rPr>
          <w:rStyle w:val="59"/>
          <w:rFonts w:ascii="宋体" w:hAnsi="宋体" w:eastAsia="宋体"/>
        </w:rPr>
        <w:t>20.迟交的投标文件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_Toc61529832 \h </w:instrText>
      </w:r>
      <w:r>
        <w:rPr>
          <w:rFonts w:ascii="宋体" w:hAnsi="宋体" w:eastAsia="宋体"/>
        </w:rPr>
        <w:fldChar w:fldCharType="separate"/>
      </w:r>
      <w:r>
        <w:rPr>
          <w:rFonts w:ascii="宋体" w:hAnsi="宋体" w:eastAsia="宋体"/>
        </w:rPr>
        <w:t>22</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"_Toc61529833" </w:instrText>
      </w:r>
      <w:r>
        <w:fldChar w:fldCharType="separate"/>
      </w:r>
      <w:r>
        <w:rPr>
          <w:rStyle w:val="59"/>
          <w:rFonts w:ascii="宋体" w:hAnsi="宋体" w:eastAsia="宋体"/>
        </w:rPr>
        <w:t>21.投标文件的修改与撤回</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_Toc61529833 \h </w:instrText>
      </w:r>
      <w:r>
        <w:rPr>
          <w:rFonts w:ascii="宋体" w:hAnsi="宋体" w:eastAsia="宋体"/>
        </w:rPr>
        <w:fldChar w:fldCharType="separate"/>
      </w:r>
      <w:r>
        <w:rPr>
          <w:rFonts w:ascii="宋体" w:hAnsi="宋体" w:eastAsia="宋体"/>
        </w:rPr>
        <w:t>22</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"_Toc61529834" </w:instrText>
      </w:r>
      <w:r>
        <w:fldChar w:fldCharType="separate"/>
      </w:r>
      <w:r>
        <w:rPr>
          <w:rStyle w:val="59"/>
          <w:rFonts w:ascii="宋体" w:hAnsi="宋体" w:eastAsia="宋体"/>
          <w:lang w:val="zh-CN"/>
        </w:rPr>
        <w:t>（五）开标与评标</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_Toc61529834 \h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"_Toc61529835" </w:instrText>
      </w:r>
      <w:r>
        <w:fldChar w:fldCharType="separate"/>
      </w:r>
      <w:r>
        <w:rPr>
          <w:rStyle w:val="59"/>
          <w:rFonts w:ascii="宋体" w:hAnsi="宋体" w:eastAsia="宋体"/>
        </w:rPr>
        <w:t>22.开标</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_Toc61529835 \h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"_Toc61529836" </w:instrText>
      </w:r>
      <w:r>
        <w:fldChar w:fldCharType="separate"/>
      </w:r>
      <w:r>
        <w:rPr>
          <w:rStyle w:val="59"/>
          <w:rFonts w:ascii="宋体" w:hAnsi="宋体" w:eastAsia="宋体"/>
        </w:rPr>
        <w:t>23.评标委员会</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_Toc61529836 \h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"_Toc61529837" </w:instrText>
      </w:r>
      <w:r>
        <w:fldChar w:fldCharType="separate"/>
      </w:r>
      <w:r>
        <w:rPr>
          <w:rStyle w:val="59"/>
          <w:rFonts w:ascii="宋体" w:hAnsi="宋体" w:eastAsia="宋体"/>
        </w:rPr>
        <w:t>24.评标过程的保密性</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_Toc61529837 \h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"_Toc61529838" </w:instrText>
      </w:r>
      <w:r>
        <w:fldChar w:fldCharType="separate"/>
      </w:r>
      <w:r>
        <w:rPr>
          <w:rStyle w:val="59"/>
          <w:rFonts w:ascii="宋体" w:hAnsi="宋体" w:eastAsia="宋体"/>
        </w:rPr>
        <w:t>25.投标文件评审</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_Toc61529838 \h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"_Toc61529839" </w:instrText>
      </w:r>
      <w:r>
        <w:fldChar w:fldCharType="separate"/>
      </w:r>
      <w:r>
        <w:rPr>
          <w:rStyle w:val="59"/>
          <w:rFonts w:ascii="宋体" w:hAnsi="宋体" w:eastAsia="宋体"/>
        </w:rPr>
        <w:t>26.投标文件的澄清</w:t>
      </w:r>
      <w:r>
        <w:rPr>
          <w:rFonts w:ascii="宋体" w:hAnsi="宋体" w:eastAsia="宋体"/>
        </w:rPr>
        <w:tab/>
      </w:r>
      <w:r>
        <w:rPr>
          <w:rFonts w:ascii="宋体" w:hAnsi="宋体" w:eastAsia="宋体"/>
        </w:rPr>
        <w:fldChar w:fldCharType="begin"/>
      </w:r>
      <w:r>
        <w:rPr>
          <w:rFonts w:ascii="宋体" w:hAnsi="宋体" w:eastAsia="宋体"/>
        </w:rPr>
        <w:instrText xml:space="preserve"> PAGEREF _Toc61529839 \h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"_Toc61529840" </w:instrText>
      </w:r>
      <w:r>
        <w:fldChar w:fldCharType="separate"/>
      </w:r>
      <w:r>
        <w:rPr>
          <w:rStyle w:val="59"/>
          <w:rFonts w:ascii="宋体" w:hAnsi="宋体" w:eastAsia="宋体"/>
        </w:rPr>
        <w:t>27.对投标文件的比较和评价</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_Toc61529840 \h </w:instrText>
      </w:r>
      <w:r>
        <w:rPr>
          <w:rFonts w:ascii="宋体" w:hAnsi="宋体" w:eastAsia="宋体"/>
        </w:rPr>
        <w:fldChar w:fldCharType="separate"/>
      </w:r>
      <w:r>
        <w:rPr>
          <w:rFonts w:ascii="宋体" w:hAnsi="宋体" w:eastAsia="宋体"/>
        </w:rPr>
        <w:t>25</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"_Toc61529841" </w:instrText>
      </w:r>
      <w:r>
        <w:fldChar w:fldCharType="separate"/>
      </w:r>
      <w:r>
        <w:rPr>
          <w:rStyle w:val="59"/>
          <w:rFonts w:ascii="宋体" w:hAnsi="宋体" w:eastAsia="宋体"/>
        </w:rPr>
        <w:t>28.评标原则及方法</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_Toc61529841 \h </w:instrText>
      </w:r>
      <w:r>
        <w:rPr>
          <w:rFonts w:ascii="宋体" w:hAnsi="宋体" w:eastAsia="宋体"/>
        </w:rPr>
        <w:fldChar w:fldCharType="separate"/>
      </w:r>
      <w:r>
        <w:rPr>
          <w:rFonts w:ascii="宋体" w:hAnsi="宋体" w:eastAsia="宋体"/>
        </w:rPr>
        <w:t>25</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"_Toc61529842" </w:instrText>
      </w:r>
      <w:r>
        <w:fldChar w:fldCharType="separate"/>
      </w:r>
      <w:r>
        <w:rPr>
          <w:rStyle w:val="59"/>
          <w:rFonts w:ascii="宋体" w:hAnsi="宋体" w:eastAsia="宋体"/>
        </w:rPr>
        <w:t>29.评标结果公示及异议、投诉</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_Toc61529842 \h </w:instrText>
      </w:r>
      <w:r>
        <w:rPr>
          <w:rFonts w:ascii="宋体" w:hAnsi="宋体" w:eastAsia="宋体"/>
        </w:rPr>
        <w:fldChar w:fldCharType="separate"/>
      </w:r>
      <w:r>
        <w:rPr>
          <w:rFonts w:ascii="宋体" w:hAnsi="宋体" w:eastAsia="宋体"/>
        </w:rPr>
        <w:t>25</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"_Toc61529843" </w:instrText>
      </w:r>
      <w:r>
        <w:fldChar w:fldCharType="separate"/>
      </w:r>
      <w:r>
        <w:rPr>
          <w:rStyle w:val="59"/>
          <w:rFonts w:ascii="宋体" w:hAnsi="宋体" w:eastAsia="宋体"/>
        </w:rPr>
        <w:t>30.真实性审查</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_Toc61529843 \h </w:instrText>
      </w:r>
      <w:r>
        <w:rPr>
          <w:rFonts w:ascii="宋体" w:hAnsi="宋体" w:eastAsia="宋体"/>
        </w:rPr>
        <w:fldChar w:fldCharType="separate"/>
      </w:r>
      <w:r>
        <w:rPr>
          <w:rFonts w:ascii="宋体" w:hAnsi="宋体" w:eastAsia="宋体"/>
        </w:rPr>
        <w:t>26</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"_Toc61529844" </w:instrText>
      </w:r>
      <w:r>
        <w:fldChar w:fldCharType="separate"/>
      </w:r>
      <w:r>
        <w:rPr>
          <w:rStyle w:val="59"/>
          <w:rFonts w:ascii="宋体" w:hAnsi="宋体" w:eastAsia="宋体"/>
        </w:rPr>
        <w:t>31.中标通知书</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_Toc61529844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"_Toc61529845" </w:instrText>
      </w:r>
      <w:r>
        <w:fldChar w:fldCharType="separate"/>
      </w:r>
      <w:r>
        <w:rPr>
          <w:rStyle w:val="59"/>
          <w:rFonts w:ascii="宋体" w:hAnsi="宋体" w:eastAsia="宋体"/>
          <w:lang w:val="zh-CN"/>
        </w:rPr>
        <w:t>（六）合同的授予</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_Toc61529845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"_Toc61529846" </w:instrText>
      </w:r>
      <w:r>
        <w:fldChar w:fldCharType="separate"/>
      </w:r>
      <w:r>
        <w:rPr>
          <w:rStyle w:val="59"/>
          <w:rFonts w:ascii="宋体" w:hAnsi="宋体" w:eastAsia="宋体"/>
        </w:rPr>
        <w:t>32.合同授予标准</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_Toc61529846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"_Toc61529847" </w:instrText>
      </w:r>
      <w:r>
        <w:fldChar w:fldCharType="separate"/>
      </w:r>
      <w:r>
        <w:rPr>
          <w:rStyle w:val="59"/>
          <w:rFonts w:ascii="宋体" w:hAnsi="宋体" w:eastAsia="宋体"/>
        </w:rPr>
        <w:t>33.接受和拒绝任何或所有投标的权利</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_Toc61529847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"_Toc61529848" </w:instrText>
      </w:r>
      <w:r>
        <w:fldChar w:fldCharType="separate"/>
      </w:r>
      <w:r>
        <w:rPr>
          <w:rStyle w:val="59"/>
          <w:rFonts w:ascii="宋体" w:hAnsi="宋体" w:eastAsia="宋体"/>
        </w:rPr>
        <w:t>34.授标时更改采购数量的权利</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_Toc61529848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"_Toc61529849" </w:instrText>
      </w:r>
      <w:r>
        <w:fldChar w:fldCharType="separate"/>
      </w:r>
      <w:r>
        <w:rPr>
          <w:rStyle w:val="59"/>
          <w:rFonts w:ascii="宋体" w:hAnsi="宋体" w:eastAsia="宋体"/>
        </w:rPr>
        <w:t>35.履约担保</w:t>
      </w:r>
      <w:r>
        <w:rPr>
          <w:rFonts w:ascii="宋体" w:hAnsi="宋体" w:eastAsia="宋体"/>
        </w:rPr>
        <w:tab/>
      </w:r>
      <w:r>
        <w:rPr>
          <w:rFonts w:ascii="宋体" w:hAnsi="宋体" w:eastAsia="宋体"/>
        </w:rPr>
        <w:fldChar w:fldCharType="begin"/>
      </w:r>
      <w:r>
        <w:rPr>
          <w:rFonts w:ascii="宋体" w:hAnsi="宋体" w:eastAsia="宋体"/>
        </w:rPr>
        <w:instrText xml:space="preserve"> PAGEREF _Toc61529849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"_Toc61529850" </w:instrText>
      </w:r>
      <w:r>
        <w:fldChar w:fldCharType="separate"/>
      </w:r>
      <w:r>
        <w:rPr>
          <w:rStyle w:val="59"/>
          <w:rFonts w:ascii="宋体" w:hAnsi="宋体" w:eastAsia="宋体"/>
        </w:rPr>
        <w:t>36.合同协议书的签订</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_Toc61529850 \h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"_Toc61529851" </w:instrText>
      </w:r>
      <w:r>
        <w:fldChar w:fldCharType="separate"/>
      </w:r>
      <w:r>
        <w:rPr>
          <w:rStyle w:val="59"/>
          <w:rFonts w:ascii="宋体" w:hAnsi="宋体" w:eastAsia="宋体"/>
        </w:rPr>
        <w:t>37.其他</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_Toc61529851 \h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fldChar w:fldCharType="end"/>
      </w:r>
    </w:p>
    <w:p>
      <w:pPr>
        <w:pStyle w:val="24"/>
        <w:tabs>
          <w:tab w:val="left" w:pos="1260"/>
          <w:tab w:val="right" w:leader="dot" w:pos="9288"/>
        </w:tabs>
        <w:spacing w:line="360" w:lineRule="auto"/>
        <w:rPr>
          <w:rFonts w:ascii="宋体" w:hAnsi="宋体" w:eastAsia="宋体"/>
          <w:kern w:val="2"/>
        </w:rPr>
      </w:pPr>
      <w:r>
        <w:fldChar w:fldCharType="begin"/>
      </w:r>
      <w:r>
        <w:instrText xml:space="preserve"> HYPERLINK \l "_Toc61529852" </w:instrText>
      </w:r>
      <w:r>
        <w:fldChar w:fldCharType="separate"/>
      </w:r>
      <w:r>
        <w:rPr>
          <w:rStyle w:val="59"/>
          <w:rFonts w:ascii="宋体" w:hAnsi="宋体" w:eastAsia="宋体"/>
        </w:rPr>
        <w:t>38.招标文件的解释权</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_Toc61529852 \h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"_Toc61529853" </w:instrText>
      </w:r>
      <w:r>
        <w:fldChar w:fldCharType="separate"/>
      </w:r>
      <w:r>
        <w:rPr>
          <w:rStyle w:val="59"/>
          <w:rFonts w:hint="eastAsia" w:ascii="宋体" w:hAnsi="宋体" w:eastAsia="宋体"/>
          <w:kern w:val="44"/>
          <w:lang w:val="zh-CN"/>
        </w:rPr>
        <w:t>附件一</w:t>
      </w:r>
      <w:r>
        <w:rPr>
          <w:rStyle w:val="59"/>
          <w:rFonts w:ascii="宋体" w:hAnsi="宋体" w:eastAsia="宋体"/>
          <w:kern w:val="44"/>
          <w:lang w:val="zh-CN"/>
        </w:rPr>
        <w:t xml:space="preserve"> </w:t>
      </w:r>
      <w:r>
        <w:rPr>
          <w:rStyle w:val="59"/>
          <w:rFonts w:hint="eastAsia" w:ascii="宋体" w:hAnsi="宋体" w:eastAsia="宋体"/>
          <w:kern w:val="44"/>
          <w:lang w:val="zh-CN"/>
        </w:rPr>
        <w:t>投标担保函格式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_Toc61529853 \h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"_Toc61529854" </w:instrText>
      </w:r>
      <w:r>
        <w:fldChar w:fldCharType="separate"/>
      </w:r>
      <w:r>
        <w:rPr>
          <w:rStyle w:val="59"/>
          <w:rFonts w:ascii="宋体" w:hAnsi="宋体" w:eastAsia="宋体"/>
          <w:kern w:val="44"/>
          <w:lang w:val="zh-CN"/>
        </w:rPr>
        <w:t>附件二 不可撤销银行履约保函格式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_Toc61529854 \h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"_Toc61529855" </w:instrText>
      </w:r>
      <w:r>
        <w:fldChar w:fldCharType="separate"/>
      </w:r>
      <w:r>
        <w:rPr>
          <w:rStyle w:val="59"/>
          <w:rFonts w:ascii="宋体" w:hAnsi="宋体" w:eastAsia="宋体"/>
          <w:kern w:val="44"/>
          <w:lang w:val="zh-CN"/>
        </w:rPr>
        <w:t>附件三 公证书格式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_Toc61529855 \h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"_Toc61529856" </w:instrText>
      </w:r>
      <w:r>
        <w:fldChar w:fldCharType="separate"/>
      </w:r>
      <w:r>
        <w:rPr>
          <w:rStyle w:val="59"/>
          <w:rFonts w:ascii="宋体" w:hAnsi="宋体" w:eastAsia="宋体"/>
          <w:kern w:val="44"/>
          <w:lang w:val="zh-CN"/>
        </w:rPr>
        <w:t>附件四 退履约担保申请表格式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_Toc61529856 \h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fldChar w:fldCharType="end"/>
      </w:r>
    </w:p>
    <w:p>
      <w:pPr>
        <w:pStyle w:val="33"/>
        <w:tabs>
          <w:tab w:val="right" w:leader="dot" w:pos="9288"/>
        </w:tabs>
        <w:spacing w:line="360" w:lineRule="auto"/>
        <w:rPr>
          <w:rFonts w:ascii="宋体" w:hAnsi="宋体" w:cs="Times New Roman"/>
          <w:sz w:val="22"/>
          <w:szCs w:val="22"/>
        </w:rPr>
      </w:pPr>
      <w:r>
        <w:fldChar w:fldCharType="begin"/>
      </w:r>
      <w:r>
        <w:instrText xml:space="preserve"> HYPERLINK \l "_Toc61529857" </w:instrText>
      </w:r>
      <w:r>
        <w:fldChar w:fldCharType="separate"/>
      </w:r>
      <w:r>
        <w:rPr>
          <w:rStyle w:val="59"/>
          <w:rFonts w:hint="eastAsia" w:ascii="宋体" w:hAnsi="宋体"/>
          <w:sz w:val="22"/>
          <w:szCs w:val="22"/>
        </w:rPr>
        <w:t>第三章</w:t>
      </w:r>
      <w:r>
        <w:rPr>
          <w:rStyle w:val="59"/>
          <w:rFonts w:ascii="宋体" w:hAnsi="宋体"/>
          <w:sz w:val="22"/>
          <w:szCs w:val="22"/>
        </w:rPr>
        <w:t xml:space="preserve"> </w:t>
      </w:r>
      <w:r>
        <w:rPr>
          <w:rStyle w:val="59"/>
          <w:rFonts w:hint="eastAsia" w:ascii="宋体" w:hAnsi="宋体"/>
          <w:sz w:val="22"/>
          <w:szCs w:val="22"/>
        </w:rPr>
        <w:t>评标办法</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_Toc61529857 \h </w:instrText>
      </w:r>
      <w:r>
        <w:rPr>
          <w:rFonts w:ascii="宋体" w:hAnsi="宋体"/>
          <w:sz w:val="22"/>
          <w:szCs w:val="22"/>
        </w:rPr>
        <w:fldChar w:fldCharType="separate"/>
      </w:r>
      <w:r>
        <w:rPr>
          <w:rFonts w:ascii="宋体" w:hAnsi="宋体"/>
          <w:sz w:val="22"/>
          <w:szCs w:val="22"/>
        </w:rPr>
        <w:t>35</w:t>
      </w:r>
      <w:r>
        <w:rPr>
          <w:rFonts w:ascii="宋体" w:hAnsi="宋体"/>
          <w:sz w:val="22"/>
          <w:szCs w:val="22"/>
        </w:rPr>
        <w:fldChar w:fldCharType="end"/>
      </w:r>
      <w:r>
        <w:rPr>
          <w:rFonts w:ascii="宋体" w:hAnsi="宋体"/>
          <w:sz w:val="22"/>
          <w:szCs w:val="22"/>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"_Toc61529858" </w:instrText>
      </w:r>
      <w:r>
        <w:fldChar w:fldCharType="separate"/>
      </w:r>
      <w:r>
        <w:rPr>
          <w:rStyle w:val="59"/>
          <w:rFonts w:hint="eastAsia" w:ascii="宋体" w:hAnsi="宋体" w:eastAsia="宋体"/>
        </w:rPr>
        <w:t>一、评标原则和目的</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_Toc61529858 \h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"_Toc61529859" </w:instrText>
      </w:r>
      <w:r>
        <w:fldChar w:fldCharType="separate"/>
      </w:r>
      <w:r>
        <w:rPr>
          <w:rStyle w:val="59"/>
          <w:rFonts w:ascii="宋体" w:hAnsi="宋体" w:eastAsia="宋体"/>
        </w:rPr>
        <w:t>二、评标程序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_Toc61529859 \h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"_Toc61529860" </w:instrText>
      </w:r>
      <w:r>
        <w:fldChar w:fldCharType="separate"/>
      </w:r>
      <w:r>
        <w:rPr>
          <w:rStyle w:val="59"/>
          <w:rFonts w:hint="eastAsia" w:ascii="宋体" w:hAnsi="宋体" w:eastAsia="宋体"/>
        </w:rPr>
        <w:t>三、评分标准和细则</w:t>
      </w:r>
      <w:r>
        <w:rPr>
          <w:rFonts w:ascii="宋体" w:hAnsi="宋体" w:eastAsia="宋体"/>
        </w:rPr>
        <w:tab/>
      </w:r>
      <w:r>
        <w:rPr>
          <w:rFonts w:ascii="宋体" w:hAnsi="宋体" w:eastAsia="宋体"/>
        </w:rPr>
        <w:fldChar w:fldCharType="begin"/>
      </w:r>
      <w:r>
        <w:rPr>
          <w:rFonts w:ascii="宋体" w:hAnsi="宋体" w:eastAsia="宋体"/>
        </w:rPr>
        <w:instrText xml:space="preserve"> PAGEREF _Toc61529860 \h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fldChar w:fldCharType="end"/>
      </w:r>
    </w:p>
    <w:p>
      <w:pPr>
        <w:pStyle w:val="33"/>
        <w:tabs>
          <w:tab w:val="right" w:leader="dot" w:pos="9288"/>
        </w:tabs>
        <w:spacing w:line="360" w:lineRule="auto"/>
        <w:rPr>
          <w:rFonts w:ascii="宋体" w:hAnsi="宋体" w:cs="Times New Roman"/>
          <w:sz w:val="22"/>
          <w:szCs w:val="22"/>
        </w:rPr>
      </w:pPr>
      <w:r>
        <w:fldChar w:fldCharType="begin"/>
      </w:r>
      <w:r>
        <w:instrText xml:space="preserve"> HYPERLINK \l "_Toc61529861" </w:instrText>
      </w:r>
      <w:r>
        <w:fldChar w:fldCharType="separate"/>
      </w:r>
      <w:r>
        <w:rPr>
          <w:rStyle w:val="59"/>
          <w:rFonts w:hint="eastAsia" w:ascii="宋体" w:hAnsi="宋体"/>
          <w:sz w:val="22"/>
          <w:szCs w:val="22"/>
        </w:rPr>
        <w:t>第四章</w:t>
      </w:r>
      <w:r>
        <w:rPr>
          <w:rStyle w:val="59"/>
          <w:rFonts w:ascii="宋体" w:hAnsi="宋体"/>
          <w:sz w:val="22"/>
          <w:szCs w:val="22"/>
        </w:rPr>
        <w:t xml:space="preserve"> </w:t>
      </w:r>
      <w:r>
        <w:rPr>
          <w:rStyle w:val="59"/>
          <w:rFonts w:hint="eastAsia" w:ascii="宋体" w:hAnsi="宋体"/>
          <w:sz w:val="22"/>
          <w:szCs w:val="22"/>
        </w:rPr>
        <w:t>用户需求书</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_Toc61529861 \h </w:instrText>
      </w:r>
      <w:r>
        <w:rPr>
          <w:rFonts w:ascii="宋体" w:hAnsi="宋体"/>
          <w:sz w:val="22"/>
          <w:szCs w:val="22"/>
        </w:rPr>
        <w:fldChar w:fldCharType="separate"/>
      </w:r>
      <w:r>
        <w:rPr>
          <w:rFonts w:ascii="宋体" w:hAnsi="宋体"/>
          <w:sz w:val="22"/>
          <w:szCs w:val="22"/>
        </w:rPr>
        <w:t>44</w:t>
      </w:r>
      <w:r>
        <w:rPr>
          <w:rFonts w:ascii="宋体" w:hAnsi="宋体"/>
          <w:sz w:val="22"/>
          <w:szCs w:val="22"/>
        </w:rPr>
        <w:fldChar w:fldCharType="end"/>
      </w:r>
      <w:r>
        <w:rPr>
          <w:rFonts w:ascii="宋体" w:hAnsi="宋体"/>
          <w:sz w:val="22"/>
          <w:szCs w:val="22"/>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"_Toc61529862" </w:instrText>
      </w:r>
      <w:r>
        <w:fldChar w:fldCharType="separate"/>
      </w:r>
      <w:r>
        <w:rPr>
          <w:rStyle w:val="59"/>
          <w:rFonts w:hint="eastAsia" w:ascii="宋体" w:hAnsi="宋体" w:eastAsia="宋体"/>
        </w:rPr>
        <w:t>用户需求</w:t>
      </w:r>
      <w:r>
        <w:rPr>
          <w:rFonts w:ascii="宋体" w:hAnsi="宋体" w:eastAsia="宋体"/>
        </w:rPr>
        <w:tab/>
      </w:r>
      <w:r>
        <w:rPr>
          <w:rFonts w:ascii="宋体" w:hAnsi="宋体" w:eastAsia="宋体"/>
        </w:rPr>
        <w:fldChar w:fldCharType="begin"/>
      </w:r>
      <w:r>
        <w:rPr>
          <w:rFonts w:ascii="宋体" w:hAnsi="宋体" w:eastAsia="宋体"/>
        </w:rPr>
        <w:instrText xml:space="preserve"> PAGEREF _Toc61529862 \h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fldChar w:fldCharType="end"/>
      </w:r>
    </w:p>
    <w:p>
      <w:pPr>
        <w:pStyle w:val="33"/>
        <w:tabs>
          <w:tab w:val="right" w:leader="dot" w:pos="9288"/>
        </w:tabs>
        <w:spacing w:line="360" w:lineRule="auto"/>
        <w:rPr>
          <w:rFonts w:ascii="宋体" w:hAnsi="宋体" w:cs="Times New Roman"/>
          <w:sz w:val="22"/>
          <w:szCs w:val="22"/>
        </w:rPr>
      </w:pPr>
      <w:r>
        <w:fldChar w:fldCharType="begin"/>
      </w:r>
      <w:r>
        <w:instrText xml:space="preserve"> HYPERLINK \l "_Toc61529863" </w:instrText>
      </w:r>
      <w:r>
        <w:fldChar w:fldCharType="separate"/>
      </w:r>
      <w:r>
        <w:rPr>
          <w:rStyle w:val="59"/>
          <w:rFonts w:hint="eastAsia" w:ascii="宋体" w:hAnsi="宋体"/>
          <w:sz w:val="22"/>
          <w:szCs w:val="22"/>
        </w:rPr>
        <w:t>第五章</w:t>
      </w:r>
      <w:r>
        <w:rPr>
          <w:rStyle w:val="59"/>
          <w:rFonts w:ascii="宋体" w:hAnsi="宋体"/>
          <w:sz w:val="22"/>
          <w:szCs w:val="22"/>
        </w:rPr>
        <w:t xml:space="preserve"> </w:t>
      </w:r>
      <w:r>
        <w:rPr>
          <w:rStyle w:val="59"/>
          <w:rFonts w:hint="eastAsia" w:ascii="宋体" w:hAnsi="宋体"/>
          <w:sz w:val="22"/>
          <w:szCs w:val="22"/>
        </w:rPr>
        <w:t>合同格式</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_Toc61529863 \h </w:instrText>
      </w:r>
      <w:r>
        <w:rPr>
          <w:rFonts w:ascii="宋体" w:hAnsi="宋体"/>
          <w:sz w:val="22"/>
          <w:szCs w:val="22"/>
        </w:rPr>
        <w:fldChar w:fldCharType="separate"/>
      </w:r>
      <w:r>
        <w:rPr>
          <w:rFonts w:ascii="宋体" w:hAnsi="宋体"/>
          <w:sz w:val="22"/>
          <w:szCs w:val="22"/>
        </w:rPr>
        <w:t>60</w:t>
      </w:r>
      <w:r>
        <w:rPr>
          <w:rFonts w:ascii="宋体" w:hAnsi="宋体"/>
          <w:sz w:val="22"/>
          <w:szCs w:val="22"/>
        </w:rPr>
        <w:fldChar w:fldCharType="end"/>
      </w:r>
      <w:r>
        <w:rPr>
          <w:rFonts w:ascii="宋体" w:hAnsi="宋体"/>
          <w:sz w:val="22"/>
          <w:szCs w:val="22"/>
        </w:rPr>
        <w:fldChar w:fldCharType="end"/>
      </w:r>
    </w:p>
    <w:p>
      <w:pPr>
        <w:pStyle w:val="33"/>
        <w:tabs>
          <w:tab w:val="right" w:leader="dot" w:pos="9288"/>
        </w:tabs>
        <w:spacing w:line="360" w:lineRule="auto"/>
        <w:rPr>
          <w:rFonts w:ascii="宋体" w:hAnsi="宋体" w:cs="Times New Roman"/>
          <w:sz w:val="22"/>
          <w:szCs w:val="22"/>
        </w:rPr>
      </w:pPr>
      <w:r>
        <w:fldChar w:fldCharType="begin"/>
      </w:r>
      <w:r>
        <w:instrText xml:space="preserve"> HYPERLINK \l "_Toc61529864" </w:instrText>
      </w:r>
      <w:r>
        <w:fldChar w:fldCharType="separate"/>
      </w:r>
      <w:r>
        <w:rPr>
          <w:rStyle w:val="59"/>
          <w:rFonts w:hint="eastAsia" w:ascii="宋体" w:hAnsi="宋体"/>
          <w:sz w:val="22"/>
          <w:szCs w:val="22"/>
        </w:rPr>
        <w:t>第六章</w:t>
      </w:r>
      <w:r>
        <w:rPr>
          <w:rStyle w:val="59"/>
          <w:rFonts w:ascii="宋体" w:hAnsi="宋体"/>
          <w:sz w:val="22"/>
          <w:szCs w:val="22"/>
        </w:rPr>
        <w:t xml:space="preserve"> </w:t>
      </w:r>
      <w:r>
        <w:rPr>
          <w:rStyle w:val="59"/>
          <w:rFonts w:hint="eastAsia" w:ascii="宋体" w:hAnsi="宋体"/>
          <w:sz w:val="22"/>
          <w:szCs w:val="22"/>
        </w:rPr>
        <w:t>投标文件格式</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_Toc61529864 \h </w:instrText>
      </w:r>
      <w:r>
        <w:rPr>
          <w:rFonts w:ascii="宋体" w:hAnsi="宋体"/>
          <w:sz w:val="22"/>
          <w:szCs w:val="22"/>
        </w:rPr>
        <w:fldChar w:fldCharType="separate"/>
      </w:r>
      <w:r>
        <w:rPr>
          <w:rFonts w:ascii="宋体" w:hAnsi="宋体"/>
          <w:sz w:val="22"/>
          <w:szCs w:val="22"/>
        </w:rPr>
        <w:t>73</w:t>
      </w:r>
      <w:r>
        <w:rPr>
          <w:rFonts w:ascii="宋体" w:hAnsi="宋体"/>
          <w:sz w:val="22"/>
          <w:szCs w:val="22"/>
        </w:rPr>
        <w:fldChar w:fldCharType="end"/>
      </w:r>
      <w:r>
        <w:rPr>
          <w:rFonts w:ascii="宋体" w:hAnsi="宋体"/>
          <w:sz w:val="22"/>
          <w:szCs w:val="22"/>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"_Toc61529865" </w:instrText>
      </w:r>
      <w:r>
        <w:fldChar w:fldCharType="separate"/>
      </w:r>
      <w:r>
        <w:rPr>
          <w:rStyle w:val="59"/>
          <w:rFonts w:hint="eastAsia" w:ascii="宋体" w:hAnsi="宋体" w:eastAsia="宋体"/>
          <w:spacing w:val="-6"/>
        </w:rPr>
        <w:t>一、价格部分文件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_Toc61529865 \h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"_Toc61529866" </w:instrText>
      </w:r>
      <w:r>
        <w:fldChar w:fldCharType="separate"/>
      </w:r>
      <w:r>
        <w:rPr>
          <w:rStyle w:val="59"/>
          <w:rFonts w:ascii="宋体" w:hAnsi="宋体" w:eastAsia="宋体"/>
        </w:rPr>
        <w:t>1、投标报价一览表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_Toc61529866 \h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"_Toc61529867" </w:instrText>
      </w:r>
      <w:r>
        <w:fldChar w:fldCharType="separate"/>
      </w:r>
      <w:r>
        <w:rPr>
          <w:rStyle w:val="59"/>
          <w:rFonts w:ascii="宋体" w:hAnsi="宋体" w:eastAsia="宋体" w:cs="宋体"/>
        </w:rPr>
        <w:t>2、投标分项报价表（货物类适用）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_Toc61529867 \h </w:instrText>
      </w:r>
      <w:r>
        <w:rPr>
          <w:rFonts w:ascii="宋体" w:hAnsi="宋体" w:eastAsia="宋体"/>
        </w:rPr>
        <w:fldChar w:fldCharType="separate"/>
      </w:r>
      <w:r>
        <w:rPr>
          <w:rFonts w:ascii="宋体" w:hAnsi="宋体" w:eastAsia="宋体"/>
        </w:rPr>
        <w:t>76</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"_Toc61529869" </w:instrText>
      </w:r>
      <w:r>
        <w:fldChar w:fldCharType="separate"/>
      </w:r>
      <w:r>
        <w:rPr>
          <w:rStyle w:val="59"/>
          <w:rFonts w:hint="eastAsia" w:ascii="宋体" w:hAnsi="宋体" w:eastAsia="宋体"/>
          <w:spacing w:val="-6"/>
        </w:rPr>
        <w:t>二、商务、技术部分文件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_Toc61529869 \h </w:instrText>
      </w:r>
      <w:r>
        <w:rPr>
          <w:rFonts w:ascii="宋体" w:hAnsi="宋体" w:eastAsia="宋体"/>
        </w:rPr>
        <w:fldChar w:fldCharType="separate"/>
      </w:r>
      <w:r>
        <w:rPr>
          <w:rFonts w:ascii="宋体" w:hAnsi="宋体" w:eastAsia="宋体"/>
        </w:rPr>
        <w:t>77</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"_Toc61529870" </w:instrText>
      </w:r>
      <w:r>
        <w:fldChar w:fldCharType="separate"/>
      </w:r>
      <w:r>
        <w:rPr>
          <w:rStyle w:val="59"/>
          <w:rFonts w:ascii="宋体" w:hAnsi="宋体" w:eastAsia="宋体"/>
        </w:rPr>
        <w:t>1、投标函</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_Toc61529870 \h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"_Toc61529871" </w:instrText>
      </w:r>
      <w:r>
        <w:fldChar w:fldCharType="separate"/>
      </w:r>
      <w:r>
        <w:rPr>
          <w:rStyle w:val="59"/>
          <w:rFonts w:ascii="宋体" w:hAnsi="宋体" w:eastAsia="宋体"/>
        </w:rPr>
        <w:t>2、承诺书</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_Toc61529871 \h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"_Toc61529872" </w:instrText>
      </w:r>
      <w:r>
        <w:fldChar w:fldCharType="separate"/>
      </w:r>
      <w:r>
        <w:rPr>
          <w:rStyle w:val="59"/>
          <w:rFonts w:ascii="宋体" w:hAnsi="宋体" w:eastAsia="宋体"/>
        </w:rPr>
        <w:t>3、法定代表人身份证明书</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_Toc61529872 \h </w:instrText>
      </w:r>
      <w:r>
        <w:rPr>
          <w:rFonts w:ascii="宋体" w:hAnsi="宋体" w:eastAsia="宋体"/>
        </w:rPr>
        <w:fldChar w:fldCharType="separate"/>
      </w:r>
      <w:r>
        <w:rPr>
          <w:rFonts w:ascii="宋体" w:hAnsi="宋体" w:eastAsia="宋体"/>
        </w:rPr>
        <w:t>80</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"_Toc61529873" </w:instrText>
      </w:r>
      <w:r>
        <w:fldChar w:fldCharType="separate"/>
      </w:r>
      <w:r>
        <w:rPr>
          <w:rStyle w:val="59"/>
          <w:rFonts w:ascii="宋体" w:hAnsi="宋体" w:eastAsia="宋体"/>
        </w:rPr>
        <w:t>4</w:t>
      </w:r>
      <w:r>
        <w:rPr>
          <w:rStyle w:val="59"/>
          <w:rFonts w:hint="eastAsia" w:ascii="宋体" w:hAnsi="宋体" w:eastAsia="宋体"/>
        </w:rPr>
        <w:t>、法定代表人授权委托书</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_Toc61529873 \h </w:instrText>
      </w:r>
      <w:r>
        <w:rPr>
          <w:rFonts w:ascii="宋体" w:hAnsi="宋体" w:eastAsia="宋体"/>
        </w:rPr>
        <w:fldChar w:fldCharType="separate"/>
      </w:r>
      <w:r>
        <w:rPr>
          <w:rFonts w:ascii="宋体" w:hAnsi="宋体" w:eastAsia="宋体"/>
        </w:rPr>
        <w:t>81</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"_Toc61529874" </w:instrText>
      </w:r>
      <w:r>
        <w:fldChar w:fldCharType="separate"/>
      </w:r>
      <w:r>
        <w:rPr>
          <w:rStyle w:val="59"/>
          <w:rFonts w:ascii="宋体" w:hAnsi="宋体" w:eastAsia="宋体"/>
        </w:rPr>
        <w:t>5、资格文件声明函</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_Toc61529874 \h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"_Toc61529875" </w:instrText>
      </w:r>
      <w:r>
        <w:fldChar w:fldCharType="separate"/>
      </w:r>
      <w:r>
        <w:rPr>
          <w:rStyle w:val="59"/>
          <w:rFonts w:ascii="宋体" w:hAnsi="宋体" w:eastAsia="宋体"/>
        </w:rPr>
        <w:t>6、投标单位基本情况、简介</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_Toc61529875 \h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"_Toc61529876" </w:instrText>
      </w:r>
      <w:r>
        <w:fldChar w:fldCharType="separate"/>
      </w:r>
      <w:r>
        <w:rPr>
          <w:rStyle w:val="59"/>
          <w:rFonts w:ascii="宋体" w:hAnsi="宋体" w:eastAsia="宋体"/>
        </w:rPr>
        <w:t>7、投标人资格证明文件</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_Toc61529876 \h </w:instrText>
      </w:r>
      <w:r>
        <w:rPr>
          <w:rFonts w:ascii="宋体" w:hAnsi="宋体" w:eastAsia="宋体"/>
        </w:rPr>
        <w:fldChar w:fldCharType="separate"/>
      </w:r>
      <w:r>
        <w:rPr>
          <w:rFonts w:ascii="宋体" w:hAnsi="宋体" w:eastAsia="宋体"/>
        </w:rPr>
        <w:t>84</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"_Toc61529877" </w:instrText>
      </w:r>
      <w:r>
        <w:fldChar w:fldCharType="separate"/>
      </w:r>
      <w:r>
        <w:rPr>
          <w:rStyle w:val="59"/>
          <w:rFonts w:ascii="宋体" w:hAnsi="宋体" w:eastAsia="宋体"/>
        </w:rPr>
        <w:t>8、投标人承诺</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_Toc61529877 \h </w:instrText>
      </w:r>
      <w:r>
        <w:rPr>
          <w:rFonts w:ascii="宋体" w:hAnsi="宋体" w:eastAsia="宋体"/>
        </w:rPr>
        <w:fldChar w:fldCharType="separate"/>
      </w:r>
      <w:r>
        <w:rPr>
          <w:rFonts w:ascii="宋体" w:hAnsi="宋体" w:eastAsia="宋体"/>
        </w:rPr>
        <w:t>85</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"_Toc61529878" </w:instrText>
      </w:r>
      <w:r>
        <w:fldChar w:fldCharType="separate"/>
      </w:r>
      <w:r>
        <w:rPr>
          <w:rStyle w:val="59"/>
          <w:rFonts w:ascii="宋体" w:hAnsi="宋体" w:eastAsia="宋体"/>
        </w:rPr>
        <w:t>9、业绩情况一览表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_Toc61529878 \h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"_Toc61529879" </w:instrText>
      </w:r>
      <w:r>
        <w:fldChar w:fldCharType="separate"/>
      </w:r>
      <w:r>
        <w:rPr>
          <w:rStyle w:val="59"/>
          <w:rFonts w:ascii="宋体" w:hAnsi="宋体" w:eastAsia="宋体"/>
        </w:rPr>
        <w:t>10、拟投入本项目的服务团队人员情况表格式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_Toc61529879 \h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"_Toc61529880" </w:instrText>
      </w:r>
      <w:r>
        <w:fldChar w:fldCharType="separate"/>
      </w:r>
      <w:r>
        <w:rPr>
          <w:rStyle w:val="59"/>
          <w:rFonts w:ascii="宋体" w:hAnsi="宋体" w:eastAsia="宋体"/>
        </w:rPr>
        <w:t>11</w:t>
      </w:r>
      <w:r>
        <w:rPr>
          <w:rStyle w:val="59"/>
          <w:rFonts w:hint="eastAsia" w:ascii="宋体" w:hAnsi="宋体" w:eastAsia="宋体"/>
        </w:rPr>
        <w:t>、投标方案</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_Toc61529880 \h </w:instrText>
      </w:r>
      <w:r>
        <w:rPr>
          <w:rFonts w:ascii="宋体" w:hAnsi="宋体" w:eastAsia="宋体"/>
        </w:rPr>
        <w:fldChar w:fldCharType="separate"/>
      </w:r>
      <w:r>
        <w:rPr>
          <w:rFonts w:ascii="宋体" w:hAnsi="宋体" w:eastAsia="宋体"/>
        </w:rPr>
        <w:t>91</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"_Toc61529881" </w:instrText>
      </w:r>
      <w:r>
        <w:fldChar w:fldCharType="separate"/>
      </w:r>
      <w:r>
        <w:rPr>
          <w:rStyle w:val="59"/>
          <w:rFonts w:ascii="宋体" w:hAnsi="宋体" w:eastAsia="宋体"/>
        </w:rPr>
        <w:t>12</w:t>
      </w:r>
      <w:r>
        <w:rPr>
          <w:rStyle w:val="59"/>
          <w:rFonts w:hint="eastAsia" w:ascii="宋体" w:hAnsi="宋体" w:eastAsia="宋体"/>
        </w:rPr>
        <w:t>、货物说明一览表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_Toc61529881 \h </w:instrText>
      </w:r>
      <w:r>
        <w:rPr>
          <w:rFonts w:ascii="宋体" w:hAnsi="宋体" w:eastAsia="宋体"/>
        </w:rPr>
        <w:fldChar w:fldCharType="separate"/>
      </w:r>
      <w:r>
        <w:rPr>
          <w:rFonts w:ascii="宋体" w:hAnsi="宋体" w:eastAsia="宋体"/>
        </w:rPr>
        <w:t>9</w:t>
      </w:r>
      <w:r>
        <w:rPr>
          <w:rFonts w:hint="eastAsia" w:ascii="宋体" w:hAnsi="宋体"/>
          <w:lang w:val="en-US" w:eastAsia="zh-CN"/>
        </w:rPr>
        <w:t>2</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"_Toc61529882" </w:instrText>
      </w:r>
      <w:r>
        <w:fldChar w:fldCharType="separate"/>
      </w:r>
      <w:r>
        <w:rPr>
          <w:rStyle w:val="59"/>
          <w:rFonts w:ascii="宋体" w:hAnsi="宋体" w:eastAsia="宋体"/>
        </w:rPr>
        <w:t>13</w:t>
      </w:r>
      <w:r>
        <w:rPr>
          <w:rStyle w:val="59"/>
          <w:rFonts w:hint="eastAsia" w:ascii="宋体" w:hAnsi="宋体" w:eastAsia="宋体"/>
        </w:rPr>
        <w:t>、用户需求偏离表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_Toc61529882 \h </w:instrText>
      </w:r>
      <w:r>
        <w:rPr>
          <w:rFonts w:ascii="宋体" w:hAnsi="宋体" w:eastAsia="宋体"/>
        </w:rPr>
        <w:fldChar w:fldCharType="separate"/>
      </w:r>
      <w:r>
        <w:rPr>
          <w:rFonts w:ascii="宋体" w:hAnsi="宋体" w:eastAsia="宋体"/>
        </w:rPr>
        <w:t>9</w:t>
      </w:r>
      <w:r>
        <w:rPr>
          <w:rFonts w:hint="eastAsia" w:ascii="宋体" w:hAnsi="宋体"/>
          <w:lang w:val="en-US" w:eastAsia="zh-CN"/>
        </w:rPr>
        <w:t>3</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"_Toc61529883" </w:instrText>
      </w:r>
      <w:r>
        <w:fldChar w:fldCharType="separate"/>
      </w:r>
      <w:r>
        <w:rPr>
          <w:rStyle w:val="59"/>
          <w:rFonts w:ascii="宋体" w:hAnsi="宋体" w:eastAsia="宋体"/>
        </w:rPr>
        <w:t>14</w:t>
      </w:r>
      <w:r>
        <w:rPr>
          <w:rStyle w:val="59"/>
          <w:rFonts w:hint="eastAsia" w:ascii="宋体" w:hAnsi="宋体" w:eastAsia="宋体"/>
        </w:rPr>
        <w:t>、★号条款响应表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_Toc61529883 \h </w:instrText>
      </w:r>
      <w:r>
        <w:rPr>
          <w:rFonts w:ascii="宋体" w:hAnsi="宋体" w:eastAsia="宋体"/>
        </w:rPr>
        <w:fldChar w:fldCharType="separate"/>
      </w:r>
      <w:r>
        <w:rPr>
          <w:rFonts w:ascii="宋体" w:hAnsi="宋体" w:eastAsia="宋体"/>
        </w:rPr>
        <w:t>9</w:t>
      </w:r>
      <w:r>
        <w:rPr>
          <w:rFonts w:hint="eastAsia" w:ascii="宋体" w:hAnsi="宋体"/>
          <w:lang w:val="en-US" w:eastAsia="zh-CN"/>
        </w:rPr>
        <w:t>4</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"_Toc61529884" </w:instrText>
      </w:r>
      <w:r>
        <w:fldChar w:fldCharType="separate"/>
      </w:r>
      <w:r>
        <w:rPr>
          <w:rStyle w:val="59"/>
          <w:rFonts w:ascii="宋体" w:hAnsi="宋体" w:eastAsia="宋体"/>
        </w:rPr>
        <w:t>15、</w:t>
      </w:r>
      <w:r>
        <w:rPr>
          <w:rStyle w:val="59"/>
          <w:rFonts w:hint="eastAsia" w:ascii="宋体" w:hAnsi="宋体" w:eastAsia="宋体"/>
        </w:rPr>
        <w:t>合同条款偏离表</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_Toc61529884 \h </w:instrText>
      </w:r>
      <w:r>
        <w:rPr>
          <w:rFonts w:ascii="宋体" w:hAnsi="宋体" w:eastAsia="宋体"/>
        </w:rPr>
        <w:fldChar w:fldCharType="separate"/>
      </w:r>
      <w:r>
        <w:rPr>
          <w:rFonts w:ascii="宋体" w:hAnsi="宋体" w:eastAsia="宋体"/>
        </w:rPr>
        <w:t>9</w:t>
      </w:r>
      <w:r>
        <w:rPr>
          <w:rFonts w:hint="eastAsia" w:ascii="宋体" w:hAnsi="宋体"/>
          <w:lang w:val="en-US" w:eastAsia="zh-CN"/>
        </w:rPr>
        <w:t>5</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kern w:val="2"/>
        </w:rPr>
      </w:pPr>
      <w:r>
        <w:fldChar w:fldCharType="begin"/>
      </w:r>
      <w:r>
        <w:instrText xml:space="preserve"> HYPERLINK \l "_Toc61529885" </w:instrText>
      </w:r>
      <w:r>
        <w:fldChar w:fldCharType="separate"/>
      </w:r>
      <w:r>
        <w:rPr>
          <w:rStyle w:val="59"/>
          <w:rFonts w:ascii="宋体" w:hAnsi="宋体" w:eastAsia="宋体"/>
        </w:rPr>
        <w:t>16</w:t>
      </w:r>
      <w:r>
        <w:rPr>
          <w:rStyle w:val="59"/>
          <w:rFonts w:hint="eastAsia" w:ascii="宋体" w:hAnsi="宋体" w:eastAsia="宋体"/>
        </w:rPr>
        <w:t>、投标保证金汇入情况说明</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_Toc61529885 \h </w:instrText>
      </w:r>
      <w:r>
        <w:rPr>
          <w:rFonts w:ascii="宋体" w:hAnsi="宋体" w:eastAsia="宋体"/>
        </w:rPr>
        <w:fldChar w:fldCharType="separate"/>
      </w:r>
      <w:r>
        <w:rPr>
          <w:rFonts w:ascii="宋体" w:hAnsi="宋体" w:eastAsia="宋体"/>
        </w:rPr>
        <w:t>9</w:t>
      </w:r>
      <w:r>
        <w:rPr>
          <w:rFonts w:hint="eastAsia" w:ascii="宋体" w:hAnsi="宋体"/>
          <w:lang w:val="en-US" w:eastAsia="zh-CN"/>
        </w:rPr>
        <w:t>6</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rPr>
      </w:pPr>
      <w:r>
        <w:fldChar w:fldCharType="begin"/>
      </w:r>
      <w:r>
        <w:instrText xml:space="preserve"> HYPERLINK \l "_Toc61529886" </w:instrText>
      </w:r>
      <w:r>
        <w:fldChar w:fldCharType="separate"/>
      </w:r>
      <w:r>
        <w:rPr>
          <w:rStyle w:val="59"/>
          <w:rFonts w:ascii="宋体" w:hAnsi="宋体" w:eastAsia="宋体"/>
        </w:rPr>
        <w:t>17、</w:t>
      </w:r>
      <w:r>
        <w:rPr>
          <w:rStyle w:val="59"/>
          <w:rFonts w:hint="eastAsia" w:ascii="宋体" w:hAnsi="宋体" w:eastAsia="宋体"/>
        </w:rPr>
        <w:t>中标服务费承诺书</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_Toc61529886 \h </w:instrText>
      </w:r>
      <w:r>
        <w:rPr>
          <w:rFonts w:ascii="宋体" w:hAnsi="宋体" w:eastAsia="宋体"/>
        </w:rPr>
        <w:fldChar w:fldCharType="separate"/>
      </w:r>
      <w:r>
        <w:rPr>
          <w:rFonts w:ascii="宋体" w:hAnsi="宋体" w:eastAsia="宋体"/>
        </w:rPr>
        <w:t>9</w:t>
      </w:r>
      <w:r>
        <w:rPr>
          <w:rFonts w:hint="eastAsia" w:ascii="宋体" w:hAnsi="宋体"/>
          <w:lang w:val="en-US" w:eastAsia="zh-CN"/>
        </w:rPr>
        <w:t>7</w:t>
      </w:r>
      <w:r>
        <w:rPr>
          <w:rFonts w:ascii="宋体" w:hAnsi="宋体" w:eastAsia="宋体"/>
        </w:rPr>
        <w:fldChar w:fldCharType="end"/>
      </w:r>
      <w:r>
        <w:rPr>
          <w:rFonts w:ascii="宋体" w:hAnsi="宋体" w:eastAsia="宋体"/>
        </w:rPr>
        <w:fldChar w:fldCharType="end"/>
      </w:r>
    </w:p>
    <w:p>
      <w:pPr>
        <w:pStyle w:val="24"/>
        <w:tabs>
          <w:tab w:val="right" w:leader="dot" w:pos="9288"/>
        </w:tabs>
        <w:spacing w:line="360" w:lineRule="auto"/>
        <w:rPr>
          <w:rFonts w:ascii="宋体" w:hAnsi="宋体" w:eastAsia="宋体"/>
        </w:rPr>
      </w:pPr>
      <w:r>
        <w:fldChar w:fldCharType="begin"/>
      </w:r>
      <w:r>
        <w:instrText xml:space="preserve"> HYPERLINK \l "_Toc61529886" </w:instrText>
      </w:r>
      <w:r>
        <w:fldChar w:fldCharType="separate"/>
      </w:r>
      <w:r>
        <w:rPr>
          <w:rStyle w:val="59"/>
          <w:rFonts w:ascii="宋体" w:hAnsi="宋体" w:eastAsia="宋体"/>
        </w:rPr>
        <w:t>1</w:t>
      </w:r>
      <w:r>
        <w:rPr>
          <w:rStyle w:val="59"/>
          <w:rFonts w:hint="eastAsia" w:ascii="宋体" w:hAnsi="宋体"/>
          <w:lang w:val="en-US" w:eastAsia="zh-CN"/>
        </w:rPr>
        <w:t>8</w:t>
      </w:r>
      <w:r>
        <w:rPr>
          <w:rStyle w:val="59"/>
          <w:rFonts w:ascii="宋体" w:hAnsi="宋体" w:eastAsia="宋体"/>
        </w:rPr>
        <w:t>、</w:t>
      </w:r>
      <w:r>
        <w:rPr>
          <w:rStyle w:val="59"/>
          <w:rFonts w:hint="eastAsia" w:ascii="宋体" w:hAnsi="宋体" w:eastAsia="宋体"/>
        </w:rPr>
        <w:t>投标人认为需加以说明的其他内容</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_Toc61529886 \h </w:instrText>
      </w:r>
      <w:r>
        <w:rPr>
          <w:rFonts w:ascii="宋体" w:hAnsi="宋体" w:eastAsia="宋体"/>
        </w:rPr>
        <w:fldChar w:fldCharType="separate"/>
      </w:r>
      <w:r>
        <w:rPr>
          <w:rFonts w:ascii="宋体" w:hAnsi="宋体" w:eastAsia="宋体"/>
        </w:rPr>
        <w:t>98</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"_Toc61529887" </w:instrText>
      </w:r>
      <w:r>
        <w:fldChar w:fldCharType="separate"/>
      </w:r>
      <w:r>
        <w:rPr>
          <w:rStyle w:val="59"/>
          <w:rFonts w:hint="eastAsia" w:ascii="宋体" w:hAnsi="宋体" w:eastAsia="宋体"/>
          <w:spacing w:val="-6"/>
        </w:rPr>
        <w:t>三、唱标信封</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_Toc61529887 \h </w:instrText>
      </w:r>
      <w:r>
        <w:rPr>
          <w:rFonts w:ascii="宋体" w:hAnsi="宋体" w:eastAsia="宋体"/>
        </w:rPr>
        <w:fldChar w:fldCharType="separate"/>
      </w:r>
      <w:r>
        <w:rPr>
          <w:rFonts w:ascii="宋体" w:hAnsi="宋体" w:eastAsia="宋体"/>
        </w:rPr>
        <w:t>99</w:t>
      </w:r>
      <w:r>
        <w:rPr>
          <w:rFonts w:ascii="宋体" w:hAnsi="宋体" w:eastAsia="宋体"/>
        </w:rPr>
        <w:fldChar w:fldCharType="end"/>
      </w:r>
      <w:r>
        <w:rPr>
          <w:rFonts w:ascii="宋体" w:hAnsi="宋体" w:eastAsia="宋体"/>
        </w:rPr>
        <w:fldChar w:fldCharType="end"/>
      </w:r>
    </w:p>
    <w:p>
      <w:pPr>
        <w:pStyle w:val="42"/>
        <w:tabs>
          <w:tab w:val="right" w:leader="dot" w:pos="9288"/>
        </w:tabs>
        <w:spacing w:line="360" w:lineRule="auto"/>
        <w:rPr>
          <w:rFonts w:ascii="宋体" w:hAnsi="宋体" w:eastAsia="宋体"/>
          <w:kern w:val="2"/>
        </w:rPr>
      </w:pPr>
      <w:r>
        <w:fldChar w:fldCharType="begin"/>
      </w:r>
      <w:r>
        <w:instrText xml:space="preserve"> HYPERLINK \l "_Toc61529888" </w:instrText>
      </w:r>
      <w:r>
        <w:fldChar w:fldCharType="separate"/>
      </w:r>
      <w:r>
        <w:rPr>
          <w:rStyle w:val="59"/>
          <w:rFonts w:hint="eastAsia" w:ascii="宋体" w:hAnsi="宋体" w:eastAsia="宋体"/>
          <w:spacing w:val="-6"/>
        </w:rPr>
        <w:t>四、无线胶装样式</w:t>
      </w:r>
      <w:r>
        <w:rPr>
          <w:rFonts w:ascii="宋体" w:hAnsi="宋体" w:eastAsia="宋体"/>
        </w:rPr>
        <w:tab/>
      </w:r>
      <w:r>
        <w:rPr>
          <w:rFonts w:ascii="宋体" w:hAnsi="宋体" w:eastAsia="宋体"/>
        </w:rPr>
        <w:fldChar w:fldCharType="begin"/>
      </w:r>
      <w:r>
        <w:rPr>
          <w:rFonts w:ascii="宋体" w:hAnsi="宋体" w:eastAsia="宋体"/>
        </w:rPr>
        <w:instrText xml:space="preserve"> PAGEREF _Toc61529888 \h </w:instrText>
      </w:r>
      <w:r>
        <w:rPr>
          <w:rFonts w:ascii="宋体" w:hAnsi="宋体" w:eastAsia="宋体"/>
        </w:rPr>
        <w:fldChar w:fldCharType="separate"/>
      </w:r>
      <w:r>
        <w:rPr>
          <w:rFonts w:ascii="宋体" w:hAnsi="宋体" w:eastAsia="宋体"/>
        </w:rPr>
        <w:t>100</w:t>
      </w:r>
      <w:r>
        <w:rPr>
          <w:rFonts w:ascii="宋体" w:hAnsi="宋体" w:eastAsia="宋体"/>
        </w:rPr>
        <w:fldChar w:fldCharType="end"/>
      </w:r>
      <w:r>
        <w:rPr>
          <w:rFonts w:ascii="宋体" w:hAnsi="宋体" w:eastAsia="宋体"/>
        </w:rPr>
        <w:fldChar w:fldCharType="end"/>
      </w:r>
    </w:p>
    <w:p>
      <w:pPr>
        <w:spacing w:line="360" w:lineRule="auto"/>
        <w:rPr>
          <w:rFonts w:ascii="宋体" w:hAnsi="宋体"/>
          <w:sz w:val="22"/>
          <w:szCs w:val="22"/>
        </w:rPr>
      </w:pPr>
      <w:r>
        <w:rPr>
          <w:rFonts w:ascii="宋体" w:hAnsi="宋体"/>
          <w:sz w:val="22"/>
          <w:szCs w:val="22"/>
        </w:rPr>
        <w:fldChar w:fldCharType="end"/>
      </w:r>
    </w:p>
    <w:p>
      <w:pPr>
        <w:widowControl/>
        <w:spacing w:line="360" w:lineRule="auto"/>
        <w:jc w:val="left"/>
        <w:rPr>
          <w:rFonts w:ascii="宋体" w:hAnsi="宋体"/>
          <w:sz w:val="22"/>
          <w:szCs w:val="22"/>
        </w:rPr>
      </w:pPr>
      <w:bookmarkStart w:id="2" w:name="_Toc427232293"/>
      <w:bookmarkStart w:id="3" w:name="_Toc441844047"/>
      <w:r>
        <w:rPr>
          <w:rFonts w:ascii="宋体" w:hAnsi="宋体"/>
          <w:sz w:val="22"/>
          <w:szCs w:val="22"/>
        </w:rPr>
        <w:br w:type="page"/>
      </w:r>
    </w:p>
    <w:p>
      <w:pPr>
        <w:spacing w:line="360" w:lineRule="auto"/>
        <w:rPr>
          <w:rFonts w:ascii="宋体" w:hAnsi="宋体"/>
          <w:sz w:val="22"/>
          <w:szCs w:val="22"/>
        </w:rPr>
      </w:pPr>
    </w:p>
    <w:p>
      <w:pPr>
        <w:rPr>
          <w:rFonts w:ascii="Times New Roman" w:hAnsi="Times New Roman" w:eastAsia="宋体"/>
        </w:rPr>
      </w:pPr>
    </w:p>
    <w:p>
      <w:pPr>
        <w:rPr>
          <w:rFonts w:ascii="Times New Roman" w:hAnsi="Times New Roman" w:eastAsia="宋体"/>
        </w:rPr>
      </w:pPr>
    </w:p>
    <w:p>
      <w:pPr>
        <w:pStyle w:val="3"/>
        <w:jc w:val="center"/>
        <w:rPr>
          <w:rFonts w:ascii="Times New Roman" w:hAnsi="Times New Roman" w:eastAsia="宋体"/>
        </w:rPr>
      </w:pPr>
      <w:bookmarkStart w:id="4" w:name="_Toc61529804"/>
      <w:r>
        <w:rPr>
          <w:rFonts w:ascii="Times New Roman" w:hAnsi="Times New Roman" w:eastAsia="宋体"/>
        </w:rPr>
        <w:t xml:space="preserve">第一章  </w:t>
      </w:r>
      <w:bookmarkEnd w:id="2"/>
      <w:bookmarkEnd w:id="3"/>
      <w:r>
        <w:rPr>
          <w:rFonts w:ascii="Times New Roman" w:hAnsi="Times New Roman" w:eastAsia="宋体"/>
        </w:rPr>
        <w:t>投标邀请</w:t>
      </w:r>
      <w:bookmarkEnd w:id="4"/>
    </w:p>
    <w:p>
      <w:pPr>
        <w:widowControl/>
        <w:jc w:val="left"/>
        <w:rPr>
          <w:rFonts w:ascii="Times New Roman" w:hAnsi="Times New Roman" w:eastAsia="宋体"/>
          <w:b/>
          <w:bCs/>
          <w:sz w:val="32"/>
          <w:szCs w:val="32"/>
        </w:rPr>
      </w:pPr>
      <w:bookmarkStart w:id="5" w:name="_Toc441844049"/>
      <w:r>
        <w:rPr>
          <w:rFonts w:ascii="Times New Roman" w:hAnsi="Times New Roman" w:eastAsia="宋体"/>
          <w:bCs/>
          <w:szCs w:val="32"/>
        </w:rPr>
        <w:br w:type="page"/>
      </w:r>
    </w:p>
    <w:p>
      <w:pPr>
        <w:pStyle w:val="4"/>
        <w:tabs>
          <w:tab w:val="left" w:pos="0"/>
          <w:tab w:val="clear" w:pos="1440"/>
        </w:tabs>
        <w:ind w:left="0" w:firstLine="0"/>
        <w:jc w:val="center"/>
        <w:rPr>
          <w:rFonts w:ascii="Times New Roman" w:hAnsi="Times New Roman" w:eastAsia="宋体"/>
          <w:b w:val="0"/>
          <w:bCs/>
          <w:szCs w:val="32"/>
        </w:rPr>
      </w:pPr>
      <w:bookmarkStart w:id="6" w:name="_Toc61529805"/>
      <w:r>
        <w:rPr>
          <w:rFonts w:ascii="Times New Roman" w:hAnsi="Times New Roman" w:eastAsia="宋体"/>
          <w:bCs/>
          <w:szCs w:val="32"/>
        </w:rPr>
        <w:t>一、 投标邀请函</w:t>
      </w:r>
      <w:bookmarkEnd w:id="6"/>
    </w:p>
    <w:p>
      <w:pPr>
        <w:spacing w:line="40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深圳市国信招标有限公司（以下简称“招标代理机构”）受东莞市轨道交通有限公司（以下简称“招标人”）委托，就以下项目进行国内公开招标采购，详情请参见招标文件。欢迎符合条件的潜在投标人参加投标,有关事项如下：</w:t>
      </w:r>
    </w:p>
    <w:p>
      <w:pPr>
        <w:numPr>
          <w:ilvl w:val="0"/>
          <w:numId w:val="1"/>
        </w:numPr>
        <w:spacing w:line="360" w:lineRule="auto"/>
        <w:rPr>
          <w:rFonts w:hint="eastAsia" w:ascii="宋体" w:hAnsi="宋体" w:eastAsia="宋体" w:cs="宋体"/>
          <w:bCs/>
          <w:sz w:val="22"/>
          <w:szCs w:val="22"/>
        </w:rPr>
      </w:pPr>
      <w:r>
        <w:rPr>
          <w:rFonts w:hint="eastAsia" w:ascii="宋体" w:hAnsi="宋体" w:eastAsia="宋体" w:cs="宋体"/>
          <w:bCs/>
          <w:sz w:val="22"/>
          <w:szCs w:val="22"/>
        </w:rPr>
        <w:t>项目编号：GXDG21016</w:t>
      </w:r>
    </w:p>
    <w:p>
      <w:pPr>
        <w:numPr>
          <w:ilvl w:val="0"/>
          <w:numId w:val="1"/>
        </w:numPr>
        <w:spacing w:line="360" w:lineRule="auto"/>
        <w:rPr>
          <w:rFonts w:hint="eastAsia" w:ascii="宋体" w:hAnsi="宋体" w:eastAsia="宋体" w:cs="宋体"/>
          <w:bCs/>
          <w:sz w:val="22"/>
          <w:szCs w:val="22"/>
        </w:rPr>
      </w:pPr>
      <w:r>
        <w:rPr>
          <w:rFonts w:hint="eastAsia" w:ascii="宋体" w:hAnsi="宋体" w:eastAsia="宋体" w:cs="宋体"/>
          <w:bCs/>
          <w:sz w:val="22"/>
          <w:szCs w:val="22"/>
        </w:rPr>
        <w:t>项目名称：东莞市轨道交通有限公司运营分公司2021年生产设备采购项目</w:t>
      </w:r>
    </w:p>
    <w:p>
      <w:pPr>
        <w:numPr>
          <w:ilvl w:val="0"/>
          <w:numId w:val="1"/>
        </w:numPr>
        <w:spacing w:line="360" w:lineRule="auto"/>
        <w:rPr>
          <w:rFonts w:hint="eastAsia" w:ascii="宋体" w:hAnsi="宋体" w:eastAsia="宋体" w:cs="宋体"/>
          <w:bCs/>
          <w:sz w:val="22"/>
          <w:szCs w:val="22"/>
        </w:rPr>
      </w:pPr>
      <w:r>
        <w:rPr>
          <w:rFonts w:hint="eastAsia" w:ascii="宋体" w:hAnsi="宋体" w:eastAsia="宋体" w:cs="宋体"/>
          <w:bCs/>
          <w:sz w:val="22"/>
          <w:szCs w:val="22"/>
        </w:rPr>
        <w:t>采购内容：</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3189"/>
        <w:gridCol w:w="2396"/>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500" w:type="pct"/>
            <w:noWrap w:val="0"/>
            <w:vAlign w:val="center"/>
          </w:tcPr>
          <w:p>
            <w:pPr>
              <w:jc w:val="center"/>
              <w:rPr>
                <w:rFonts w:hint="eastAsia" w:ascii="宋体" w:hAnsi="宋体" w:eastAsia="宋体" w:cs="宋体"/>
                <w:b/>
                <w:sz w:val="22"/>
                <w:szCs w:val="22"/>
              </w:rPr>
            </w:pPr>
            <w:r>
              <w:rPr>
                <w:rFonts w:hint="eastAsia" w:ascii="宋体" w:hAnsi="宋体" w:eastAsia="宋体" w:cs="宋体"/>
                <w:b/>
                <w:bCs/>
                <w:sz w:val="22"/>
                <w:szCs w:val="22"/>
              </w:rPr>
              <w:t>包号</w:t>
            </w:r>
          </w:p>
        </w:tc>
        <w:tc>
          <w:tcPr>
            <w:tcW w:w="1871" w:type="pct"/>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采购内容</w:t>
            </w:r>
          </w:p>
        </w:tc>
        <w:tc>
          <w:tcPr>
            <w:tcW w:w="1406" w:type="pct"/>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交货期</w:t>
            </w:r>
          </w:p>
        </w:tc>
        <w:tc>
          <w:tcPr>
            <w:tcW w:w="1223" w:type="pct"/>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采购预算金额（元）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50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A</w:t>
            </w:r>
          </w:p>
        </w:tc>
        <w:tc>
          <w:tcPr>
            <w:tcW w:w="187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东莞市轨道交通有限公司运营分公司2021年生产设备采购项目</w:t>
            </w:r>
          </w:p>
        </w:tc>
        <w:tc>
          <w:tcPr>
            <w:tcW w:w="1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w:t>
            </w:r>
            <w:r>
              <w:rPr>
                <w:rFonts w:hint="eastAsia" w:ascii="宋体" w:hAnsi="宋体" w:eastAsia="宋体" w:cs="宋体"/>
                <w:color w:val="auto"/>
                <w:sz w:val="22"/>
                <w:szCs w:val="22"/>
                <w:highlight w:val="none"/>
                <w:lang w:val="en-US" w:eastAsia="zh-CN"/>
              </w:rPr>
              <w:t>（参照用户需求书规定，最长不超过90个日历日）个日历日</w:t>
            </w:r>
            <w:r>
              <w:rPr>
                <w:rFonts w:hint="eastAsia" w:ascii="宋体" w:hAnsi="宋体" w:eastAsia="宋体" w:cs="宋体"/>
                <w:color w:val="auto"/>
                <w:sz w:val="22"/>
                <w:szCs w:val="22"/>
                <w:highlight w:val="none"/>
              </w:rPr>
              <w:t>内完成设备供货、安装、调试并试运行。</w:t>
            </w:r>
          </w:p>
        </w:tc>
        <w:tc>
          <w:tcPr>
            <w:tcW w:w="12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1,827,936.80</w:t>
            </w:r>
            <w:r>
              <w:rPr>
                <w:rFonts w:hint="eastAsia" w:ascii="宋体" w:hAnsi="宋体" w:eastAsia="宋体" w:cs="宋体"/>
                <w:color w:val="auto"/>
                <w:sz w:val="22"/>
                <w:szCs w:val="22"/>
                <w:highlight w:val="none"/>
              </w:rPr>
              <w:t>元</w:t>
            </w:r>
          </w:p>
        </w:tc>
      </w:tr>
    </w:tbl>
    <w:p>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注：项目要求详见《用户需求书》。</w:t>
      </w:r>
    </w:p>
    <w:p>
      <w:pPr>
        <w:numPr>
          <w:ilvl w:val="0"/>
          <w:numId w:val="1"/>
        </w:num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项目预算金额：￥</w:t>
      </w:r>
      <w:r>
        <w:rPr>
          <w:rFonts w:hint="eastAsia" w:ascii="宋体" w:hAnsi="宋体" w:eastAsia="宋体" w:cs="宋体"/>
          <w:color w:val="auto"/>
          <w:sz w:val="22"/>
          <w:szCs w:val="22"/>
          <w:highlight w:val="none"/>
          <w:lang w:val="en-US" w:eastAsia="zh-CN"/>
        </w:rPr>
        <w:t>1,827,936.80</w:t>
      </w:r>
      <w:r>
        <w:rPr>
          <w:rFonts w:hint="eastAsia" w:ascii="宋体" w:hAnsi="宋体" w:eastAsia="宋体" w:cs="宋体"/>
          <w:bCs/>
          <w:color w:val="auto"/>
          <w:sz w:val="22"/>
          <w:szCs w:val="22"/>
          <w:highlight w:val="none"/>
        </w:rPr>
        <w:t>元。</w:t>
      </w:r>
    </w:p>
    <w:p>
      <w:pPr>
        <w:numPr>
          <w:ilvl w:val="0"/>
          <w:numId w:val="1"/>
        </w:numPr>
        <w:snapToGrid w:val="0"/>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投标人资格要求：</w:t>
      </w:r>
    </w:p>
    <w:p>
      <w:pPr>
        <w:pStyle w:val="116"/>
        <w:numPr>
          <w:ilvl w:val="0"/>
          <w:numId w:val="2"/>
        </w:numPr>
        <w:tabs>
          <w:tab w:val="left" w:pos="425"/>
        </w:tabs>
        <w:adjustRightInd w:val="0"/>
        <w:snapToGrid w:val="0"/>
        <w:spacing w:line="360" w:lineRule="auto"/>
        <w:ind w:left="426" w:hanging="426" w:firstLineChars="0"/>
        <w:rPr>
          <w:rFonts w:hint="eastAsia" w:ascii="宋体" w:hAnsi="宋体" w:eastAsia="宋体" w:cs="宋体"/>
          <w:sz w:val="22"/>
          <w:szCs w:val="22"/>
        </w:rPr>
      </w:pPr>
      <w:bookmarkStart w:id="7" w:name="_Hlk2675390"/>
      <w:r>
        <w:rPr>
          <w:rFonts w:hint="eastAsia" w:ascii="宋体" w:hAnsi="宋体" w:eastAsia="宋体" w:cs="宋体"/>
          <w:sz w:val="22"/>
          <w:szCs w:val="22"/>
          <w:lang w:val="zh-CN"/>
        </w:rPr>
        <w:t>在中华人民共和国境内登记注册的、合法存续、正常经营且具有独立承担民事责任能力的法人或其他组织</w:t>
      </w:r>
      <w:r>
        <w:rPr>
          <w:rFonts w:hint="eastAsia" w:ascii="宋体" w:hAnsi="宋体" w:eastAsia="宋体" w:cs="宋体"/>
          <w:sz w:val="22"/>
          <w:szCs w:val="22"/>
        </w:rPr>
        <w:t>；</w:t>
      </w:r>
    </w:p>
    <w:p>
      <w:pPr>
        <w:pStyle w:val="116"/>
        <w:numPr>
          <w:ilvl w:val="0"/>
          <w:numId w:val="2"/>
        </w:numPr>
        <w:tabs>
          <w:tab w:val="left" w:pos="425"/>
        </w:tabs>
        <w:adjustRightInd w:val="0"/>
        <w:snapToGrid w:val="0"/>
        <w:spacing w:line="360" w:lineRule="auto"/>
        <w:ind w:left="426" w:hanging="426" w:firstLineChars="0"/>
        <w:rPr>
          <w:rFonts w:hint="eastAsia" w:ascii="宋体" w:hAnsi="宋体" w:eastAsia="宋体" w:cs="宋体"/>
          <w:sz w:val="22"/>
          <w:szCs w:val="22"/>
          <w:lang w:val="zh-CN"/>
        </w:rPr>
      </w:pPr>
      <w:r>
        <w:rPr>
          <w:rFonts w:hint="eastAsia" w:ascii="宋体" w:hAnsi="宋体" w:eastAsia="宋体" w:cs="宋体"/>
          <w:sz w:val="22"/>
          <w:szCs w:val="22"/>
          <w:lang w:val="zh-CN"/>
        </w:rPr>
        <w:t>投标人未被列入</w:t>
      </w:r>
      <w:r>
        <w:rPr>
          <w:rFonts w:hint="eastAsia" w:ascii="宋体" w:hAnsi="宋体" w:eastAsia="宋体" w:cs="宋体"/>
          <w:sz w:val="22"/>
          <w:szCs w:val="22"/>
        </w:rPr>
        <w:t>“</w:t>
      </w:r>
      <w:r>
        <w:rPr>
          <w:rFonts w:hint="eastAsia" w:ascii="宋体" w:hAnsi="宋体" w:eastAsia="宋体" w:cs="宋体"/>
          <w:sz w:val="22"/>
          <w:szCs w:val="22"/>
          <w:lang w:val="zh-CN"/>
        </w:rPr>
        <w:t>信用中国</w:t>
      </w:r>
      <w:r>
        <w:rPr>
          <w:rFonts w:hint="eastAsia" w:ascii="宋体" w:hAnsi="宋体" w:eastAsia="宋体" w:cs="宋体"/>
          <w:sz w:val="22"/>
          <w:szCs w:val="22"/>
        </w:rPr>
        <w:t>”</w:t>
      </w:r>
      <w:r>
        <w:rPr>
          <w:rFonts w:hint="eastAsia" w:ascii="宋体" w:hAnsi="宋体" w:eastAsia="宋体" w:cs="宋体"/>
          <w:sz w:val="22"/>
          <w:szCs w:val="22"/>
          <w:lang w:val="zh-CN"/>
        </w:rPr>
        <w:t>网站</w:t>
      </w:r>
      <w:r>
        <w:rPr>
          <w:rFonts w:hint="eastAsia" w:ascii="宋体" w:hAnsi="宋体" w:eastAsia="宋体" w:cs="宋体"/>
          <w:sz w:val="22"/>
          <w:szCs w:val="22"/>
        </w:rPr>
        <w:t>(www.creditchina.gov.cn)“</w:t>
      </w:r>
      <w:r>
        <w:rPr>
          <w:rFonts w:hint="eastAsia" w:ascii="宋体" w:hAnsi="宋体" w:eastAsia="宋体" w:cs="宋体"/>
          <w:sz w:val="22"/>
          <w:szCs w:val="22"/>
          <w:lang w:val="zh-CN"/>
        </w:rPr>
        <w:t>记录失信被执行人或重大税收违法案件当事人名单或政府采购严重违法失信名单</w:t>
      </w:r>
      <w:r>
        <w:rPr>
          <w:rFonts w:hint="eastAsia" w:ascii="宋体" w:hAnsi="宋体" w:eastAsia="宋体" w:cs="宋体"/>
          <w:sz w:val="22"/>
          <w:szCs w:val="22"/>
        </w:rPr>
        <w:t>”</w:t>
      </w:r>
      <w:r>
        <w:rPr>
          <w:rFonts w:hint="eastAsia" w:ascii="宋体" w:hAnsi="宋体" w:eastAsia="宋体" w:cs="宋体"/>
          <w:sz w:val="22"/>
          <w:szCs w:val="22"/>
          <w:lang w:val="zh-CN"/>
        </w:rPr>
        <w:t>记录名单</w:t>
      </w:r>
      <w:r>
        <w:rPr>
          <w:rFonts w:hint="eastAsia" w:ascii="宋体" w:hAnsi="宋体" w:eastAsia="宋体" w:cs="宋体"/>
          <w:sz w:val="22"/>
          <w:szCs w:val="22"/>
        </w:rPr>
        <w:t>；</w:t>
      </w:r>
      <w:r>
        <w:rPr>
          <w:rFonts w:hint="eastAsia" w:ascii="宋体" w:hAnsi="宋体" w:eastAsia="宋体" w:cs="宋体"/>
          <w:sz w:val="22"/>
          <w:szCs w:val="22"/>
          <w:lang w:val="zh-CN"/>
        </w:rPr>
        <w:t>不处于中国政府采购网</w:t>
      </w:r>
      <w:r>
        <w:rPr>
          <w:rFonts w:hint="eastAsia" w:ascii="宋体" w:hAnsi="宋体" w:eastAsia="宋体" w:cs="宋体"/>
          <w:sz w:val="22"/>
          <w:szCs w:val="22"/>
        </w:rPr>
        <w:t>(www.ccgp.gov.cn)“</w:t>
      </w:r>
      <w:r>
        <w:rPr>
          <w:rFonts w:hint="eastAsia" w:ascii="宋体" w:hAnsi="宋体" w:eastAsia="宋体" w:cs="宋体"/>
          <w:sz w:val="22"/>
          <w:szCs w:val="22"/>
          <w:lang w:val="zh-CN"/>
        </w:rPr>
        <w:t>政府采购严重违法失信行为信息记录</w:t>
      </w:r>
      <w:r>
        <w:rPr>
          <w:rFonts w:hint="eastAsia" w:ascii="宋体" w:hAnsi="宋体" w:eastAsia="宋体" w:cs="宋体"/>
          <w:sz w:val="22"/>
          <w:szCs w:val="22"/>
        </w:rPr>
        <w:t>”</w:t>
      </w:r>
      <w:r>
        <w:rPr>
          <w:rFonts w:hint="eastAsia" w:ascii="宋体" w:hAnsi="宋体" w:eastAsia="宋体" w:cs="宋体"/>
          <w:sz w:val="22"/>
          <w:szCs w:val="22"/>
          <w:lang w:val="zh-CN"/>
        </w:rPr>
        <w:t>中的禁止参加政府采购活动期间</w:t>
      </w:r>
      <w:r>
        <w:rPr>
          <w:rFonts w:hint="eastAsia" w:ascii="宋体" w:hAnsi="宋体" w:eastAsia="宋体" w:cs="宋体"/>
          <w:sz w:val="22"/>
          <w:szCs w:val="22"/>
        </w:rPr>
        <w:t>（</w:t>
      </w:r>
      <w:r>
        <w:rPr>
          <w:rFonts w:hint="eastAsia" w:ascii="宋体" w:hAnsi="宋体" w:eastAsia="宋体" w:cs="宋体"/>
          <w:sz w:val="22"/>
          <w:szCs w:val="22"/>
          <w:lang w:val="zh-CN"/>
        </w:rPr>
        <w:t>处罚限届满的除外</w:t>
      </w:r>
      <w:r>
        <w:rPr>
          <w:rFonts w:hint="eastAsia" w:ascii="宋体" w:hAnsi="宋体" w:eastAsia="宋体" w:cs="宋体"/>
          <w:sz w:val="22"/>
          <w:szCs w:val="22"/>
        </w:rPr>
        <w:t>）</w:t>
      </w:r>
      <w:r>
        <w:rPr>
          <w:rFonts w:hint="eastAsia" w:ascii="宋体" w:hAnsi="宋体" w:eastAsia="宋体" w:cs="宋体"/>
          <w:sz w:val="22"/>
          <w:szCs w:val="22"/>
          <w:lang w:val="zh-CN"/>
        </w:rPr>
        <w:t>。（以招标代理机构于投标截止日当天在“信用中国”网站及中国政府采购网查询结果为准，同时对信用信息查询记录和证据进行打印存档）；</w:t>
      </w:r>
    </w:p>
    <w:p>
      <w:pPr>
        <w:pStyle w:val="116"/>
        <w:numPr>
          <w:ilvl w:val="0"/>
          <w:numId w:val="2"/>
        </w:numPr>
        <w:tabs>
          <w:tab w:val="left" w:pos="425"/>
        </w:tabs>
        <w:adjustRightInd w:val="0"/>
        <w:snapToGrid w:val="0"/>
        <w:spacing w:line="360" w:lineRule="auto"/>
        <w:ind w:left="426" w:hanging="426" w:firstLineChars="0"/>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本项目招标文件投标须知合格的投标人其他要求；</w:t>
      </w:r>
    </w:p>
    <w:p>
      <w:pPr>
        <w:pStyle w:val="116"/>
        <w:numPr>
          <w:ilvl w:val="0"/>
          <w:numId w:val="2"/>
        </w:numPr>
        <w:tabs>
          <w:tab w:val="left" w:pos="425"/>
        </w:tabs>
        <w:adjustRightInd w:val="0"/>
        <w:snapToGrid w:val="0"/>
        <w:spacing w:line="360" w:lineRule="auto"/>
        <w:ind w:left="426" w:hanging="426" w:firstLineChars="0"/>
        <w:rPr>
          <w:rFonts w:hint="eastAsia" w:ascii="宋体" w:hAnsi="宋体" w:eastAsia="宋体" w:cs="宋体"/>
          <w:sz w:val="22"/>
          <w:szCs w:val="22"/>
          <w:lang w:val="zh-CN"/>
        </w:rPr>
      </w:pPr>
      <w:r>
        <w:rPr>
          <w:rFonts w:hint="eastAsia" w:ascii="宋体" w:hAnsi="宋体" w:eastAsia="宋体" w:cs="宋体"/>
          <w:sz w:val="22"/>
          <w:szCs w:val="22"/>
          <w:lang w:val="zh-CN"/>
        </w:rPr>
        <w:t>本项目</w:t>
      </w:r>
      <w:r>
        <w:rPr>
          <w:rFonts w:hint="eastAsia" w:ascii="宋体" w:hAnsi="宋体" w:eastAsia="宋体" w:cs="宋体"/>
          <w:sz w:val="22"/>
          <w:szCs w:val="22"/>
          <w:u w:val="none"/>
          <w:lang w:val="zh-CN"/>
        </w:rPr>
        <w:t>不接受</w:t>
      </w:r>
      <w:r>
        <w:rPr>
          <w:rFonts w:hint="eastAsia" w:ascii="宋体" w:hAnsi="宋体" w:eastAsia="宋体" w:cs="宋体"/>
          <w:sz w:val="22"/>
          <w:szCs w:val="22"/>
          <w:lang w:val="zh-CN"/>
        </w:rPr>
        <w:t>联合体投标。</w:t>
      </w:r>
      <w:bookmarkEnd w:id="7"/>
    </w:p>
    <w:p>
      <w:pPr>
        <w:numPr>
          <w:ilvl w:val="0"/>
          <w:numId w:val="1"/>
        </w:numPr>
        <w:snapToGrid w:val="0"/>
        <w:spacing w:line="360" w:lineRule="auto"/>
        <w:rPr>
          <w:rFonts w:hint="eastAsia" w:ascii="宋体" w:hAnsi="宋体" w:eastAsia="宋体" w:cs="宋体"/>
          <w:sz w:val="22"/>
          <w:szCs w:val="22"/>
        </w:rPr>
      </w:pPr>
      <w:r>
        <w:rPr>
          <w:rFonts w:hint="eastAsia" w:ascii="宋体" w:hAnsi="宋体" w:eastAsia="宋体" w:cs="宋体"/>
          <w:bCs/>
          <w:sz w:val="22"/>
          <w:szCs w:val="22"/>
        </w:rPr>
        <w:t>踏勘</w:t>
      </w:r>
      <w:r>
        <w:rPr>
          <w:rFonts w:hint="eastAsia" w:ascii="宋体" w:hAnsi="宋体" w:eastAsia="宋体" w:cs="宋体"/>
          <w:sz w:val="22"/>
          <w:szCs w:val="22"/>
        </w:rPr>
        <w:t>现场：本项目不组织踏勘现场。如有需要，投标人自行踏勘现场。</w:t>
      </w:r>
    </w:p>
    <w:p>
      <w:pPr>
        <w:numPr>
          <w:ilvl w:val="0"/>
          <w:numId w:val="1"/>
        </w:numPr>
        <w:snapToGrid w:val="0"/>
        <w:spacing w:line="360" w:lineRule="auto"/>
        <w:rPr>
          <w:rFonts w:hint="eastAsia" w:ascii="宋体" w:hAnsi="宋体" w:eastAsia="宋体" w:cs="宋体"/>
          <w:bCs/>
          <w:color w:val="auto"/>
          <w:sz w:val="22"/>
          <w:szCs w:val="22"/>
        </w:rPr>
      </w:pPr>
      <w:r>
        <w:rPr>
          <w:rFonts w:hint="eastAsia" w:ascii="宋体" w:hAnsi="宋体" w:eastAsia="宋体" w:cs="宋体"/>
          <w:bCs/>
          <w:color w:val="auto"/>
          <w:sz w:val="22"/>
          <w:szCs w:val="22"/>
        </w:rPr>
        <w:t>本项目采用</w:t>
      </w:r>
      <w:bookmarkStart w:id="8" w:name="_Hlk1990883"/>
      <w:r>
        <w:rPr>
          <w:rFonts w:hint="eastAsia" w:ascii="宋体" w:hAnsi="宋体" w:eastAsia="宋体" w:cs="宋体"/>
          <w:bCs/>
          <w:color w:val="auto"/>
          <w:sz w:val="22"/>
          <w:szCs w:val="22"/>
        </w:rPr>
        <w:t>“不记名网上下载”的方式发布招标文件</w:t>
      </w:r>
      <w:bookmarkEnd w:id="8"/>
      <w:r>
        <w:rPr>
          <w:rFonts w:hint="eastAsia" w:ascii="宋体" w:hAnsi="宋体" w:eastAsia="宋体" w:cs="宋体"/>
          <w:bCs/>
          <w:color w:val="auto"/>
          <w:sz w:val="22"/>
          <w:szCs w:val="22"/>
        </w:rPr>
        <w:t>，有意向的投标人直接在</w:t>
      </w:r>
      <w:r>
        <w:rPr>
          <w:rFonts w:hint="eastAsia" w:ascii="宋体" w:hAnsi="宋体" w:eastAsia="宋体" w:cs="宋体"/>
          <w:bCs/>
          <w:color w:val="auto"/>
          <w:sz w:val="22"/>
          <w:szCs w:val="22"/>
          <w:lang w:val="en-US" w:eastAsia="zh-CN"/>
        </w:rPr>
        <w:t>2021</w:t>
      </w:r>
      <w:r>
        <w:rPr>
          <w:rFonts w:hint="eastAsia" w:ascii="宋体" w:hAnsi="宋体" w:eastAsia="宋体" w:cs="宋体"/>
          <w:bCs/>
          <w:color w:val="auto"/>
          <w:sz w:val="22"/>
          <w:szCs w:val="22"/>
        </w:rPr>
        <w:t>年</w:t>
      </w:r>
      <w:r>
        <w:rPr>
          <w:rFonts w:hint="eastAsia" w:ascii="宋体" w:hAnsi="宋体" w:cs="宋体"/>
          <w:bCs/>
          <w:color w:val="auto"/>
          <w:sz w:val="22"/>
          <w:szCs w:val="22"/>
          <w:lang w:val="en-US" w:eastAsia="zh-CN"/>
        </w:rPr>
        <w:t>08</w:t>
      </w:r>
      <w:r>
        <w:rPr>
          <w:rFonts w:hint="eastAsia" w:ascii="宋体" w:hAnsi="宋体" w:eastAsia="宋体" w:cs="宋体"/>
          <w:bCs/>
          <w:color w:val="auto"/>
          <w:sz w:val="22"/>
          <w:szCs w:val="22"/>
        </w:rPr>
        <w:t>月</w:t>
      </w:r>
      <w:r>
        <w:rPr>
          <w:rFonts w:hint="eastAsia" w:ascii="宋体" w:hAnsi="宋体" w:cs="宋体"/>
          <w:bCs/>
          <w:color w:val="auto"/>
          <w:sz w:val="22"/>
          <w:szCs w:val="22"/>
          <w:lang w:val="en-US" w:eastAsia="zh-CN"/>
        </w:rPr>
        <w:t>13</w:t>
      </w:r>
      <w:r>
        <w:rPr>
          <w:rFonts w:hint="eastAsia" w:ascii="宋体" w:hAnsi="宋体" w:eastAsia="宋体" w:cs="宋体"/>
          <w:bCs/>
          <w:color w:val="auto"/>
          <w:sz w:val="22"/>
          <w:szCs w:val="22"/>
        </w:rPr>
        <w:t>日至</w:t>
      </w:r>
      <w:r>
        <w:rPr>
          <w:rFonts w:hint="eastAsia" w:ascii="宋体" w:hAnsi="宋体" w:eastAsia="宋体" w:cs="宋体"/>
          <w:bCs/>
          <w:color w:val="auto"/>
          <w:sz w:val="22"/>
          <w:szCs w:val="22"/>
          <w:lang w:val="en-US" w:eastAsia="zh-CN"/>
        </w:rPr>
        <w:t>2021</w:t>
      </w:r>
      <w:r>
        <w:rPr>
          <w:rFonts w:hint="eastAsia" w:ascii="宋体" w:hAnsi="宋体" w:eastAsia="宋体" w:cs="宋体"/>
          <w:bCs/>
          <w:color w:val="auto"/>
          <w:sz w:val="22"/>
          <w:szCs w:val="22"/>
        </w:rPr>
        <w:t>年</w:t>
      </w:r>
      <w:r>
        <w:rPr>
          <w:rFonts w:hint="eastAsia" w:ascii="宋体" w:hAnsi="宋体" w:cs="宋体"/>
          <w:bCs/>
          <w:color w:val="auto"/>
          <w:sz w:val="22"/>
          <w:szCs w:val="22"/>
          <w:lang w:val="en-US" w:eastAsia="zh-CN"/>
        </w:rPr>
        <w:t>09</w:t>
      </w:r>
      <w:r>
        <w:rPr>
          <w:rFonts w:hint="eastAsia" w:ascii="宋体" w:hAnsi="宋体" w:eastAsia="宋体" w:cs="宋体"/>
          <w:bCs/>
          <w:color w:val="auto"/>
          <w:sz w:val="22"/>
          <w:szCs w:val="22"/>
        </w:rPr>
        <w:t>月</w:t>
      </w:r>
      <w:r>
        <w:rPr>
          <w:rFonts w:hint="eastAsia" w:ascii="宋体" w:hAnsi="宋体" w:cs="宋体"/>
          <w:bCs/>
          <w:color w:val="auto"/>
          <w:sz w:val="22"/>
          <w:szCs w:val="22"/>
          <w:lang w:val="en-US" w:eastAsia="zh-CN"/>
        </w:rPr>
        <w:t>02</w:t>
      </w:r>
      <w:r>
        <w:rPr>
          <w:rFonts w:hint="eastAsia" w:ascii="宋体" w:hAnsi="宋体" w:eastAsia="宋体" w:cs="宋体"/>
          <w:bCs/>
          <w:color w:val="auto"/>
          <w:sz w:val="22"/>
          <w:szCs w:val="22"/>
        </w:rPr>
        <w:t>日止，在</w:t>
      </w:r>
      <w:r>
        <w:rPr>
          <w:rFonts w:hint="eastAsia" w:ascii="宋体" w:hAnsi="宋体" w:eastAsia="宋体" w:cs="宋体"/>
          <w:bCs/>
          <w:sz w:val="22"/>
          <w:szCs w:val="22"/>
        </w:rPr>
        <w:t>深圳市国信招标有限公司</w:t>
      </w:r>
      <w:r>
        <w:rPr>
          <w:rFonts w:hint="eastAsia" w:ascii="宋体" w:hAnsi="宋体" w:eastAsia="宋体" w:cs="宋体"/>
          <w:bCs/>
          <w:sz w:val="22"/>
          <w:szCs w:val="22"/>
          <w:lang w:val="en-US" w:eastAsia="zh-CN"/>
        </w:rPr>
        <w:t>网站</w:t>
      </w:r>
      <w:r>
        <w:rPr>
          <w:rFonts w:hint="eastAsia" w:ascii="宋体" w:hAnsi="宋体" w:eastAsia="宋体" w:cs="宋体"/>
          <w:bCs/>
          <w:color w:val="auto"/>
          <w:sz w:val="22"/>
          <w:szCs w:val="22"/>
          <w:lang w:eastAsia="zh-CN"/>
        </w:rPr>
        <w:t>（http://www.szgxzb.com/）</w:t>
      </w:r>
      <w:r>
        <w:rPr>
          <w:rFonts w:hint="eastAsia" w:ascii="宋体" w:hAnsi="宋体" w:eastAsia="宋体" w:cs="宋体"/>
          <w:bCs/>
          <w:color w:val="auto"/>
          <w:sz w:val="22"/>
          <w:szCs w:val="22"/>
        </w:rPr>
        <w:t>下载招标文件。</w:t>
      </w:r>
    </w:p>
    <w:p>
      <w:pPr>
        <w:numPr>
          <w:ilvl w:val="0"/>
          <w:numId w:val="1"/>
        </w:numPr>
        <w:snapToGrid w:val="0"/>
        <w:spacing w:line="360" w:lineRule="auto"/>
        <w:rPr>
          <w:rFonts w:hint="eastAsia" w:ascii="宋体" w:hAnsi="宋体" w:eastAsia="宋体" w:cs="宋体"/>
          <w:bCs/>
          <w:color w:val="auto"/>
          <w:sz w:val="22"/>
          <w:szCs w:val="22"/>
        </w:rPr>
      </w:pPr>
      <w:r>
        <w:rPr>
          <w:rFonts w:hint="eastAsia" w:ascii="宋体" w:hAnsi="宋体" w:cs="宋体"/>
          <w:bCs/>
          <w:color w:val="auto"/>
          <w:sz w:val="22"/>
          <w:szCs w:val="22"/>
          <w:lang w:eastAsia="zh-CN"/>
        </w:rPr>
        <w:t>提交</w:t>
      </w:r>
      <w:r>
        <w:rPr>
          <w:rFonts w:hint="eastAsia" w:ascii="宋体" w:hAnsi="宋体" w:eastAsia="宋体" w:cs="宋体"/>
          <w:bCs/>
          <w:color w:val="auto"/>
          <w:sz w:val="22"/>
          <w:szCs w:val="22"/>
        </w:rPr>
        <w:t>投标</w:t>
      </w:r>
      <w:r>
        <w:rPr>
          <w:rFonts w:hint="eastAsia" w:ascii="宋体" w:hAnsi="宋体" w:cs="宋体"/>
          <w:bCs/>
          <w:color w:val="auto"/>
          <w:sz w:val="22"/>
          <w:szCs w:val="22"/>
          <w:lang w:eastAsia="zh-CN"/>
        </w:rPr>
        <w:t>文件</w:t>
      </w:r>
      <w:r>
        <w:rPr>
          <w:rFonts w:hint="eastAsia" w:ascii="宋体" w:hAnsi="宋体" w:eastAsia="宋体" w:cs="宋体"/>
          <w:bCs/>
          <w:color w:val="auto"/>
          <w:sz w:val="22"/>
          <w:szCs w:val="22"/>
        </w:rPr>
        <w:t>时间：</w:t>
      </w:r>
      <w:r>
        <w:rPr>
          <w:rFonts w:hint="eastAsia" w:ascii="宋体" w:hAnsi="宋体" w:eastAsia="宋体" w:cs="宋体"/>
          <w:bCs/>
          <w:color w:val="auto"/>
          <w:sz w:val="22"/>
          <w:szCs w:val="22"/>
          <w:lang w:val="en-US" w:eastAsia="zh-CN"/>
        </w:rPr>
        <w:t>2021</w:t>
      </w:r>
      <w:r>
        <w:rPr>
          <w:rFonts w:hint="eastAsia" w:ascii="宋体" w:hAnsi="宋体" w:eastAsia="宋体" w:cs="宋体"/>
          <w:bCs/>
          <w:color w:val="auto"/>
          <w:sz w:val="22"/>
          <w:szCs w:val="22"/>
        </w:rPr>
        <w:t>年</w:t>
      </w:r>
      <w:r>
        <w:rPr>
          <w:rFonts w:hint="eastAsia" w:ascii="宋体" w:hAnsi="宋体" w:cs="宋体"/>
          <w:bCs/>
          <w:color w:val="auto"/>
          <w:sz w:val="22"/>
          <w:szCs w:val="22"/>
          <w:lang w:val="en-US" w:eastAsia="zh-CN"/>
        </w:rPr>
        <w:t>09</w:t>
      </w:r>
      <w:r>
        <w:rPr>
          <w:rFonts w:hint="eastAsia" w:ascii="宋体" w:hAnsi="宋体" w:eastAsia="宋体" w:cs="宋体"/>
          <w:bCs/>
          <w:color w:val="auto"/>
          <w:sz w:val="22"/>
          <w:szCs w:val="22"/>
        </w:rPr>
        <w:t>月</w:t>
      </w:r>
      <w:r>
        <w:rPr>
          <w:rFonts w:hint="eastAsia" w:ascii="宋体" w:hAnsi="宋体" w:cs="宋体"/>
          <w:bCs/>
          <w:color w:val="auto"/>
          <w:sz w:val="22"/>
          <w:szCs w:val="22"/>
          <w:lang w:val="en-US" w:eastAsia="zh-CN"/>
        </w:rPr>
        <w:t>03</w:t>
      </w:r>
      <w:r>
        <w:rPr>
          <w:rFonts w:hint="eastAsia" w:ascii="宋体" w:hAnsi="宋体" w:eastAsia="宋体" w:cs="宋体"/>
          <w:bCs/>
          <w:color w:val="auto"/>
          <w:sz w:val="22"/>
          <w:szCs w:val="22"/>
        </w:rPr>
        <w:t>日</w:t>
      </w:r>
      <w:r>
        <w:rPr>
          <w:rFonts w:hint="eastAsia" w:ascii="宋体" w:hAnsi="宋体" w:cs="宋体"/>
          <w:bCs/>
          <w:color w:val="auto"/>
          <w:sz w:val="22"/>
          <w:szCs w:val="22"/>
          <w:lang w:val="en-US" w:eastAsia="zh-CN"/>
        </w:rPr>
        <w:t>09:00-</w:t>
      </w:r>
      <w:r>
        <w:rPr>
          <w:rFonts w:hint="eastAsia" w:ascii="宋体" w:hAnsi="宋体" w:eastAsia="宋体" w:cs="宋体"/>
          <w:bCs/>
          <w:color w:val="auto"/>
          <w:sz w:val="22"/>
          <w:szCs w:val="22"/>
          <w:lang w:val="en-US" w:eastAsia="zh-CN"/>
        </w:rPr>
        <w:t>09</w:t>
      </w:r>
      <w:r>
        <w:rPr>
          <w:rFonts w:hint="eastAsia" w:ascii="宋体" w:hAnsi="宋体" w:cs="宋体"/>
          <w:bCs/>
          <w:color w:val="auto"/>
          <w:sz w:val="22"/>
          <w:szCs w:val="22"/>
          <w:lang w:val="en-US" w:eastAsia="zh-CN"/>
        </w:rPr>
        <w:t>:</w:t>
      </w:r>
      <w:r>
        <w:rPr>
          <w:rFonts w:hint="eastAsia" w:ascii="宋体" w:hAnsi="宋体" w:eastAsia="宋体" w:cs="宋体"/>
          <w:bCs/>
          <w:color w:val="auto"/>
          <w:sz w:val="22"/>
          <w:szCs w:val="22"/>
          <w:lang w:val="en-US" w:eastAsia="zh-CN"/>
        </w:rPr>
        <w:t>30</w:t>
      </w:r>
      <w:r>
        <w:rPr>
          <w:rFonts w:hint="eastAsia" w:ascii="宋体" w:hAnsi="宋体" w:cs="宋体"/>
          <w:bCs/>
          <w:color w:val="auto"/>
          <w:sz w:val="22"/>
          <w:szCs w:val="22"/>
          <w:lang w:val="en-US" w:eastAsia="zh-CN"/>
        </w:rPr>
        <w:t>（北京时间）</w:t>
      </w:r>
    </w:p>
    <w:p>
      <w:pPr>
        <w:numPr>
          <w:ilvl w:val="0"/>
          <w:numId w:val="1"/>
        </w:numPr>
        <w:snapToGrid w:val="0"/>
        <w:spacing w:line="360" w:lineRule="auto"/>
        <w:rPr>
          <w:rFonts w:hint="eastAsia" w:ascii="宋体" w:hAnsi="宋体" w:eastAsia="宋体" w:cs="宋体"/>
          <w:bCs/>
          <w:color w:val="auto"/>
          <w:sz w:val="22"/>
          <w:szCs w:val="22"/>
        </w:rPr>
      </w:pPr>
      <w:r>
        <w:rPr>
          <w:rFonts w:hint="eastAsia" w:ascii="宋体" w:hAnsi="宋体" w:cs="宋体"/>
          <w:bCs/>
          <w:color w:val="auto"/>
          <w:sz w:val="22"/>
          <w:szCs w:val="22"/>
          <w:lang w:eastAsia="zh-CN"/>
        </w:rPr>
        <w:t>递交投标文件截止时间</w:t>
      </w:r>
      <w:r>
        <w:rPr>
          <w:rFonts w:hint="eastAsia" w:ascii="宋体" w:hAnsi="宋体" w:eastAsia="宋体" w:cs="宋体"/>
          <w:bCs/>
          <w:color w:val="auto"/>
          <w:sz w:val="22"/>
          <w:szCs w:val="22"/>
        </w:rPr>
        <w:t>及开标时间：</w:t>
      </w:r>
      <w:r>
        <w:rPr>
          <w:rFonts w:hint="eastAsia" w:ascii="宋体" w:hAnsi="宋体" w:eastAsia="宋体" w:cs="宋体"/>
          <w:bCs/>
          <w:color w:val="auto"/>
          <w:sz w:val="22"/>
          <w:szCs w:val="22"/>
          <w:lang w:val="en-US" w:eastAsia="zh-CN"/>
        </w:rPr>
        <w:t>2021</w:t>
      </w:r>
      <w:r>
        <w:rPr>
          <w:rFonts w:hint="eastAsia" w:ascii="宋体" w:hAnsi="宋体" w:eastAsia="宋体" w:cs="宋体"/>
          <w:bCs/>
          <w:color w:val="auto"/>
          <w:sz w:val="22"/>
          <w:szCs w:val="22"/>
        </w:rPr>
        <w:t>年</w:t>
      </w:r>
      <w:r>
        <w:rPr>
          <w:rFonts w:hint="eastAsia" w:ascii="宋体" w:hAnsi="宋体" w:cs="宋体"/>
          <w:bCs/>
          <w:color w:val="auto"/>
          <w:sz w:val="22"/>
          <w:szCs w:val="22"/>
          <w:lang w:val="en-US" w:eastAsia="zh-CN"/>
        </w:rPr>
        <w:t>09</w:t>
      </w:r>
      <w:r>
        <w:rPr>
          <w:rFonts w:hint="eastAsia" w:ascii="宋体" w:hAnsi="宋体" w:eastAsia="宋体" w:cs="宋体"/>
          <w:bCs/>
          <w:color w:val="auto"/>
          <w:sz w:val="22"/>
          <w:szCs w:val="22"/>
        </w:rPr>
        <w:t>月</w:t>
      </w:r>
      <w:r>
        <w:rPr>
          <w:rFonts w:hint="eastAsia" w:ascii="宋体" w:hAnsi="宋体" w:cs="宋体"/>
          <w:bCs/>
          <w:color w:val="auto"/>
          <w:sz w:val="22"/>
          <w:szCs w:val="22"/>
          <w:lang w:val="en-US" w:eastAsia="zh-CN"/>
        </w:rPr>
        <w:t>03</w:t>
      </w:r>
      <w:r>
        <w:rPr>
          <w:rFonts w:hint="eastAsia" w:ascii="宋体" w:hAnsi="宋体" w:eastAsia="宋体" w:cs="宋体"/>
          <w:bCs/>
          <w:color w:val="auto"/>
          <w:sz w:val="22"/>
          <w:szCs w:val="22"/>
        </w:rPr>
        <w:t xml:space="preserve">日 </w:t>
      </w:r>
      <w:r>
        <w:rPr>
          <w:rFonts w:hint="eastAsia" w:ascii="宋体" w:hAnsi="宋体" w:eastAsia="宋体" w:cs="宋体"/>
          <w:bCs/>
          <w:color w:val="auto"/>
          <w:sz w:val="22"/>
          <w:szCs w:val="22"/>
          <w:lang w:val="en-US" w:eastAsia="zh-CN"/>
        </w:rPr>
        <w:t>09</w:t>
      </w:r>
      <w:r>
        <w:rPr>
          <w:rFonts w:hint="eastAsia" w:ascii="宋体" w:hAnsi="宋体" w:cs="宋体"/>
          <w:bCs/>
          <w:color w:val="auto"/>
          <w:sz w:val="22"/>
          <w:szCs w:val="22"/>
          <w:lang w:val="en-US" w:eastAsia="zh-CN"/>
        </w:rPr>
        <w:t>:</w:t>
      </w:r>
      <w:r>
        <w:rPr>
          <w:rFonts w:hint="eastAsia" w:ascii="宋体" w:hAnsi="宋体" w:eastAsia="宋体" w:cs="宋体"/>
          <w:bCs/>
          <w:color w:val="auto"/>
          <w:sz w:val="22"/>
          <w:szCs w:val="22"/>
          <w:lang w:val="en-US" w:eastAsia="zh-CN"/>
        </w:rPr>
        <w:t>30</w:t>
      </w:r>
      <w:r>
        <w:rPr>
          <w:rFonts w:hint="eastAsia" w:ascii="宋体" w:hAnsi="宋体" w:cs="宋体"/>
          <w:bCs/>
          <w:color w:val="auto"/>
          <w:sz w:val="22"/>
          <w:szCs w:val="22"/>
          <w:lang w:eastAsia="zh-CN"/>
        </w:rPr>
        <w:t>（北京时间）</w:t>
      </w:r>
    </w:p>
    <w:p>
      <w:pPr>
        <w:numPr>
          <w:ilvl w:val="0"/>
          <w:numId w:val="1"/>
        </w:numPr>
        <w:snapToGrid w:val="0"/>
        <w:spacing w:line="360" w:lineRule="auto"/>
        <w:rPr>
          <w:rFonts w:hint="eastAsia" w:ascii="宋体" w:hAnsi="宋体" w:eastAsia="宋体" w:cs="宋体"/>
          <w:bCs/>
          <w:color w:val="auto"/>
          <w:sz w:val="22"/>
          <w:szCs w:val="22"/>
        </w:rPr>
      </w:pPr>
      <w:r>
        <w:rPr>
          <w:rFonts w:hint="eastAsia" w:ascii="宋体" w:hAnsi="宋体" w:eastAsia="宋体" w:cs="宋体"/>
          <w:bCs/>
          <w:color w:val="auto"/>
          <w:sz w:val="22"/>
          <w:szCs w:val="22"/>
        </w:rPr>
        <w:t>投标及开标地点：广东省东莞市东城街道东城路561号街道办事处2号楼2楼(公共资源交易大厅）开标</w:t>
      </w:r>
      <w:r>
        <w:rPr>
          <w:rFonts w:hint="eastAsia" w:ascii="宋体" w:hAnsi="宋体" w:cs="宋体"/>
          <w:bCs/>
          <w:color w:val="auto"/>
          <w:sz w:val="22"/>
          <w:szCs w:val="22"/>
          <w:lang w:val="en-US" w:eastAsia="zh-CN"/>
        </w:rPr>
        <w:t>2</w:t>
      </w:r>
      <w:r>
        <w:rPr>
          <w:rFonts w:hint="eastAsia" w:ascii="宋体" w:hAnsi="宋体" w:eastAsia="宋体" w:cs="宋体"/>
          <w:bCs/>
          <w:color w:val="auto"/>
          <w:sz w:val="22"/>
          <w:szCs w:val="22"/>
        </w:rPr>
        <w:t>室。</w:t>
      </w:r>
    </w:p>
    <w:p>
      <w:pPr>
        <w:numPr>
          <w:ilvl w:val="0"/>
          <w:numId w:val="1"/>
        </w:numPr>
        <w:snapToGrid w:val="0"/>
        <w:spacing w:line="360" w:lineRule="auto"/>
        <w:rPr>
          <w:rFonts w:hint="eastAsia" w:ascii="宋体" w:hAnsi="宋体" w:eastAsia="宋体" w:cs="宋体"/>
          <w:bCs/>
          <w:color w:val="auto"/>
          <w:sz w:val="22"/>
          <w:szCs w:val="22"/>
        </w:rPr>
      </w:pPr>
      <w:r>
        <w:rPr>
          <w:rFonts w:hint="eastAsia" w:ascii="宋体" w:hAnsi="宋体" w:eastAsia="宋体" w:cs="宋体"/>
          <w:bCs/>
          <w:color w:val="auto"/>
          <w:sz w:val="22"/>
          <w:szCs w:val="22"/>
        </w:rPr>
        <w:t>本采购项目不举行集中答疑会，，如有任何疑问以书面形式，将疑问函原件加盖公章送至采购代理机构。</w:t>
      </w:r>
    </w:p>
    <w:p>
      <w:pPr>
        <w:numPr>
          <w:ilvl w:val="0"/>
          <w:numId w:val="1"/>
        </w:numPr>
        <w:snapToGrid w:val="0"/>
        <w:spacing w:line="360" w:lineRule="auto"/>
        <w:rPr>
          <w:rFonts w:hint="eastAsia" w:ascii="宋体" w:hAnsi="宋体" w:eastAsia="宋体" w:cs="宋体"/>
          <w:bCs/>
          <w:color w:val="auto"/>
          <w:sz w:val="22"/>
          <w:szCs w:val="22"/>
        </w:rPr>
      </w:pPr>
      <w:r>
        <w:rPr>
          <w:rFonts w:hint="eastAsia" w:ascii="宋体" w:hAnsi="宋体" w:eastAsia="宋体" w:cs="宋体"/>
          <w:bCs/>
          <w:color w:val="auto"/>
          <w:sz w:val="22"/>
          <w:szCs w:val="22"/>
        </w:rPr>
        <w:t>投标人必须向深圳市国信招标有限公司提交投标保证金，投标保证金须严格按“招标文件第二章投标人须知第16点投标保证金”要求提交。</w:t>
      </w:r>
    </w:p>
    <w:p>
      <w:pPr>
        <w:numPr>
          <w:ilvl w:val="0"/>
          <w:numId w:val="1"/>
        </w:numPr>
        <w:snapToGrid w:val="0"/>
        <w:spacing w:line="360" w:lineRule="auto"/>
        <w:rPr>
          <w:rFonts w:hint="eastAsia" w:ascii="宋体" w:hAnsi="宋体" w:eastAsia="宋体" w:cs="宋体"/>
          <w:bCs/>
          <w:sz w:val="22"/>
          <w:szCs w:val="22"/>
        </w:rPr>
      </w:pPr>
      <w:r>
        <w:rPr>
          <w:rFonts w:hint="eastAsia" w:ascii="宋体" w:hAnsi="宋体" w:eastAsia="宋体" w:cs="宋体"/>
          <w:bCs/>
          <w:sz w:val="22"/>
          <w:szCs w:val="22"/>
        </w:rPr>
        <w:t xml:space="preserve">招标代理机构和招标人将不负责投标人准备投标文件所发生的任何成本费用。 </w:t>
      </w:r>
    </w:p>
    <w:p>
      <w:pPr>
        <w:numPr>
          <w:ilvl w:val="0"/>
          <w:numId w:val="1"/>
        </w:numPr>
        <w:wordWrap w:val="0"/>
        <w:snapToGrid w:val="0"/>
        <w:spacing w:line="360" w:lineRule="auto"/>
        <w:ind w:left="482" w:hanging="482"/>
        <w:rPr>
          <w:rFonts w:hint="eastAsia" w:ascii="宋体" w:hAnsi="宋体" w:eastAsia="宋体" w:cs="宋体"/>
          <w:bCs/>
          <w:sz w:val="22"/>
          <w:szCs w:val="22"/>
        </w:rPr>
      </w:pPr>
      <w:r>
        <w:rPr>
          <w:rFonts w:hint="eastAsia" w:ascii="宋体" w:hAnsi="宋体" w:eastAsia="宋体" w:cs="宋体"/>
          <w:bCs/>
          <w:sz w:val="22"/>
          <w:szCs w:val="22"/>
        </w:rPr>
        <w:t>本次采购项目公告在中国采购与招标网（https://www.chinabidding.cn/）、东莞市轨道交通有限公司网站</w:t>
      </w:r>
      <w:r>
        <w:rPr>
          <w:rFonts w:hint="eastAsia" w:ascii="宋体" w:hAnsi="宋体" w:eastAsia="宋体" w:cs="宋体"/>
          <w:sz w:val="22"/>
          <w:szCs w:val="22"/>
        </w:rPr>
        <w:t>（http://www.dggdjt.com/）</w:t>
      </w:r>
      <w:r>
        <w:rPr>
          <w:rFonts w:hint="eastAsia" w:ascii="宋体" w:hAnsi="宋体" w:eastAsia="宋体" w:cs="宋体"/>
          <w:bCs/>
          <w:sz w:val="22"/>
          <w:szCs w:val="22"/>
        </w:rPr>
        <w:t>、深圳市国信招标有限公司网站（</w:t>
      </w:r>
      <w:r>
        <w:rPr>
          <w:rFonts w:hint="eastAsia" w:ascii="宋体" w:hAnsi="宋体" w:eastAsia="宋体" w:cs="宋体"/>
          <w:sz w:val="22"/>
          <w:szCs w:val="22"/>
        </w:rPr>
        <w:t>http://www.szgxzb.com/</w:t>
      </w:r>
      <w:r>
        <w:rPr>
          <w:rFonts w:hint="eastAsia" w:ascii="宋体" w:hAnsi="宋体" w:eastAsia="宋体" w:cs="宋体"/>
          <w:bCs/>
          <w:sz w:val="22"/>
          <w:szCs w:val="22"/>
        </w:rPr>
        <w:t>）媒体上公布，并视为有效送达，不再另行通知。有关此次采购事宜，也可按下列地址以书面或电话形式向采购代理机构查询：</w:t>
      </w:r>
    </w:p>
    <w:p>
      <w:pPr>
        <w:snapToGrid w:val="0"/>
        <w:spacing w:line="360" w:lineRule="auto"/>
        <w:ind w:firstLine="503" w:firstLineChars="229"/>
        <w:rPr>
          <w:rFonts w:hint="eastAsia" w:ascii="宋体" w:hAnsi="宋体" w:eastAsia="宋体" w:cs="宋体"/>
          <w:bCs/>
          <w:sz w:val="22"/>
          <w:szCs w:val="22"/>
          <w:u w:val="single"/>
        </w:rPr>
      </w:pPr>
      <w:r>
        <w:rPr>
          <w:rFonts w:hint="eastAsia" w:ascii="宋体" w:hAnsi="宋体" w:eastAsia="宋体" w:cs="宋体"/>
          <w:bCs/>
          <w:sz w:val="22"/>
          <w:szCs w:val="22"/>
        </w:rPr>
        <w:t>招标代理机构名称：</w:t>
      </w:r>
      <w:r>
        <w:rPr>
          <w:rFonts w:hint="eastAsia" w:ascii="宋体" w:hAnsi="宋体" w:eastAsia="宋体" w:cs="宋体"/>
          <w:bCs/>
          <w:sz w:val="22"/>
          <w:szCs w:val="22"/>
          <w:u w:val="single"/>
        </w:rPr>
        <w:t>深圳市国信招标有限公司</w:t>
      </w:r>
    </w:p>
    <w:p>
      <w:pPr>
        <w:snapToGrid w:val="0"/>
        <w:spacing w:line="360" w:lineRule="auto"/>
        <w:ind w:left="551" w:leftChars="229" w:hanging="70" w:hangingChars="32"/>
        <w:rPr>
          <w:rFonts w:hint="eastAsia" w:ascii="宋体" w:hAnsi="宋体" w:eastAsia="宋体" w:cs="宋体"/>
          <w:bCs/>
          <w:sz w:val="22"/>
          <w:szCs w:val="22"/>
          <w:u w:val="single"/>
        </w:rPr>
      </w:pPr>
      <w:r>
        <w:rPr>
          <w:rFonts w:hint="eastAsia" w:ascii="宋体" w:hAnsi="宋体" w:eastAsia="宋体" w:cs="宋体"/>
          <w:bCs/>
          <w:sz w:val="22"/>
          <w:szCs w:val="22"/>
        </w:rPr>
        <w:t>详细地址：</w:t>
      </w:r>
      <w:r>
        <w:rPr>
          <w:rFonts w:hint="eastAsia" w:ascii="宋体" w:hAnsi="宋体" w:eastAsia="宋体" w:cs="宋体"/>
          <w:bCs/>
          <w:sz w:val="22"/>
          <w:szCs w:val="22"/>
          <w:u w:val="single"/>
        </w:rPr>
        <w:t>东莞市南城区体育路2号鸿禧中心B区11081室</w:t>
      </w:r>
    </w:p>
    <w:p>
      <w:pPr>
        <w:snapToGrid w:val="0"/>
        <w:spacing w:line="360" w:lineRule="auto"/>
        <w:ind w:left="549" w:leftChars="229" w:hanging="68" w:hangingChars="31"/>
        <w:rPr>
          <w:rFonts w:hint="eastAsia" w:ascii="宋体" w:hAnsi="宋体" w:eastAsia="宋体" w:cs="宋体"/>
          <w:bCs/>
          <w:sz w:val="22"/>
          <w:szCs w:val="22"/>
        </w:rPr>
      </w:pPr>
      <w:r>
        <w:rPr>
          <w:rFonts w:hint="eastAsia" w:ascii="宋体" w:hAnsi="宋体" w:eastAsia="宋体" w:cs="宋体"/>
          <w:bCs/>
          <w:sz w:val="22"/>
          <w:szCs w:val="22"/>
        </w:rPr>
        <w:t>邮    编：</w:t>
      </w:r>
      <w:r>
        <w:rPr>
          <w:rFonts w:hint="eastAsia" w:ascii="宋体" w:hAnsi="宋体" w:eastAsia="宋体" w:cs="宋体"/>
          <w:bCs/>
          <w:sz w:val="22"/>
          <w:szCs w:val="22"/>
          <w:u w:val="single"/>
        </w:rPr>
        <w:t>523000</w:t>
      </w:r>
      <w:r>
        <w:rPr>
          <w:rFonts w:hint="eastAsia" w:ascii="宋体" w:hAnsi="宋体" w:eastAsia="宋体" w:cs="宋体"/>
          <w:bCs/>
          <w:sz w:val="22"/>
          <w:szCs w:val="22"/>
        </w:rPr>
        <w:t xml:space="preserve">         </w:t>
      </w:r>
    </w:p>
    <w:p>
      <w:pPr>
        <w:snapToGrid w:val="0"/>
        <w:spacing w:line="360" w:lineRule="auto"/>
        <w:ind w:left="549" w:leftChars="229" w:hanging="68" w:hangingChars="31"/>
        <w:rPr>
          <w:rFonts w:hint="eastAsia" w:ascii="宋体" w:hAnsi="宋体" w:eastAsia="宋体" w:cs="宋体"/>
          <w:bCs/>
          <w:sz w:val="22"/>
          <w:szCs w:val="22"/>
          <w:u w:val="single"/>
        </w:rPr>
      </w:pPr>
      <w:r>
        <w:rPr>
          <w:rFonts w:hint="eastAsia" w:ascii="宋体" w:hAnsi="宋体" w:eastAsia="宋体" w:cs="宋体"/>
          <w:bCs/>
          <w:sz w:val="22"/>
          <w:szCs w:val="22"/>
        </w:rPr>
        <w:t>联 系 人：</w:t>
      </w:r>
      <w:r>
        <w:rPr>
          <w:rFonts w:hint="eastAsia" w:ascii="宋体" w:hAnsi="宋体" w:eastAsia="宋体" w:cs="宋体"/>
          <w:bCs/>
          <w:color w:val="auto"/>
          <w:sz w:val="22"/>
          <w:szCs w:val="22"/>
          <w:u w:val="single"/>
        </w:rPr>
        <w:t>李先生、陈小姐</w:t>
      </w:r>
      <w:r>
        <w:rPr>
          <w:rFonts w:hint="eastAsia" w:ascii="宋体" w:hAnsi="宋体" w:eastAsia="宋体" w:cs="宋体"/>
          <w:bCs/>
          <w:sz w:val="22"/>
          <w:szCs w:val="22"/>
        </w:rPr>
        <w:t xml:space="preserve"> </w:t>
      </w:r>
    </w:p>
    <w:p>
      <w:pPr>
        <w:snapToGrid w:val="0"/>
        <w:spacing w:line="360" w:lineRule="auto"/>
        <w:ind w:left="549" w:leftChars="229" w:hanging="68" w:hangingChars="31"/>
        <w:rPr>
          <w:rFonts w:hint="eastAsia" w:ascii="宋体" w:hAnsi="宋体" w:eastAsia="宋体" w:cs="宋体"/>
          <w:bCs/>
          <w:sz w:val="22"/>
          <w:szCs w:val="22"/>
        </w:rPr>
      </w:pPr>
      <w:r>
        <w:rPr>
          <w:rFonts w:hint="eastAsia" w:ascii="宋体" w:hAnsi="宋体" w:eastAsia="宋体" w:cs="宋体"/>
          <w:bCs/>
          <w:sz w:val="22"/>
          <w:szCs w:val="22"/>
        </w:rPr>
        <w:t>电    话：</w:t>
      </w:r>
      <w:r>
        <w:rPr>
          <w:rFonts w:hint="eastAsia" w:ascii="宋体" w:hAnsi="宋体" w:eastAsia="宋体" w:cs="宋体"/>
          <w:bCs/>
          <w:sz w:val="22"/>
          <w:szCs w:val="22"/>
          <w:u w:val="single"/>
        </w:rPr>
        <w:t>0769-21686989</w:t>
      </w:r>
      <w:r>
        <w:rPr>
          <w:rFonts w:hint="eastAsia" w:ascii="宋体" w:hAnsi="宋体" w:eastAsia="宋体" w:cs="宋体"/>
          <w:bCs/>
          <w:sz w:val="22"/>
          <w:szCs w:val="22"/>
        </w:rPr>
        <w:t xml:space="preserve"> </w:t>
      </w:r>
    </w:p>
    <w:p>
      <w:pPr>
        <w:snapToGrid w:val="0"/>
        <w:spacing w:line="360" w:lineRule="auto"/>
        <w:ind w:left="549" w:leftChars="229" w:hanging="68" w:hangingChars="31"/>
        <w:rPr>
          <w:rFonts w:hint="eastAsia" w:ascii="宋体" w:hAnsi="宋体" w:eastAsia="宋体" w:cs="宋体"/>
          <w:bCs/>
          <w:sz w:val="22"/>
          <w:szCs w:val="22"/>
          <w:u w:val="single"/>
        </w:rPr>
      </w:pPr>
      <w:r>
        <w:rPr>
          <w:rFonts w:hint="eastAsia" w:ascii="宋体" w:hAnsi="宋体" w:eastAsia="宋体" w:cs="宋体"/>
          <w:bCs/>
          <w:sz w:val="22"/>
          <w:szCs w:val="22"/>
        </w:rPr>
        <w:t>传    真：</w:t>
      </w:r>
      <w:r>
        <w:rPr>
          <w:rFonts w:hint="eastAsia" w:ascii="宋体" w:hAnsi="宋体" w:eastAsia="宋体" w:cs="宋体"/>
          <w:bCs/>
          <w:sz w:val="22"/>
          <w:szCs w:val="22"/>
          <w:u w:val="single"/>
        </w:rPr>
        <w:t>0769-22808199</w:t>
      </w:r>
    </w:p>
    <w:p>
      <w:pPr>
        <w:snapToGrid w:val="0"/>
        <w:spacing w:line="360" w:lineRule="auto"/>
        <w:ind w:left="549" w:leftChars="229" w:hanging="68" w:hangingChars="31"/>
        <w:rPr>
          <w:rFonts w:hint="eastAsia" w:ascii="宋体" w:hAnsi="宋体" w:eastAsia="宋体" w:cs="宋体"/>
          <w:bCs/>
          <w:sz w:val="22"/>
          <w:szCs w:val="22"/>
        </w:rPr>
      </w:pPr>
    </w:p>
    <w:p>
      <w:pPr>
        <w:snapToGrid w:val="0"/>
        <w:spacing w:line="360" w:lineRule="auto"/>
        <w:ind w:left="549" w:leftChars="229" w:hanging="68" w:hangingChars="31"/>
        <w:rPr>
          <w:rFonts w:hint="eastAsia" w:ascii="宋体" w:hAnsi="宋体" w:eastAsia="宋体" w:cs="宋体"/>
          <w:bCs/>
          <w:sz w:val="22"/>
          <w:szCs w:val="22"/>
        </w:rPr>
      </w:pPr>
      <w:r>
        <w:rPr>
          <w:rFonts w:hint="eastAsia" w:ascii="宋体" w:hAnsi="宋体" w:eastAsia="宋体" w:cs="宋体"/>
          <w:bCs/>
          <w:sz w:val="22"/>
          <w:szCs w:val="22"/>
        </w:rPr>
        <w:t>招标单位名称：</w:t>
      </w:r>
      <w:r>
        <w:rPr>
          <w:rFonts w:hint="eastAsia" w:ascii="宋体" w:hAnsi="宋体" w:eastAsia="宋体" w:cs="宋体"/>
          <w:bCs/>
          <w:color w:val="auto"/>
          <w:sz w:val="22"/>
          <w:szCs w:val="22"/>
          <w:u w:val="single"/>
        </w:rPr>
        <w:t>东莞市轨道交通有限公司</w:t>
      </w:r>
    </w:p>
    <w:p>
      <w:pPr>
        <w:snapToGrid w:val="0"/>
        <w:spacing w:line="360" w:lineRule="auto"/>
        <w:ind w:left="551" w:leftChars="229" w:hanging="70" w:hangingChars="32"/>
        <w:rPr>
          <w:rFonts w:hint="eastAsia" w:ascii="宋体" w:hAnsi="宋体" w:eastAsia="宋体" w:cs="宋体"/>
          <w:bCs/>
          <w:sz w:val="22"/>
          <w:szCs w:val="22"/>
          <w:u w:val="single"/>
        </w:rPr>
      </w:pPr>
      <w:r>
        <w:rPr>
          <w:rFonts w:hint="eastAsia" w:ascii="宋体" w:hAnsi="宋体" w:eastAsia="宋体" w:cs="宋体"/>
          <w:bCs/>
          <w:sz w:val="22"/>
          <w:szCs w:val="22"/>
        </w:rPr>
        <w:t>详细地址：</w:t>
      </w:r>
      <w:r>
        <w:rPr>
          <w:rFonts w:hint="eastAsia" w:ascii="宋体" w:hAnsi="宋体" w:eastAsia="宋体" w:cs="宋体"/>
          <w:bCs/>
          <w:sz w:val="22"/>
          <w:szCs w:val="22"/>
          <w:u w:val="single"/>
        </w:rPr>
        <w:t>东莞市东莞大道116号</w:t>
      </w:r>
    </w:p>
    <w:p>
      <w:pPr>
        <w:snapToGrid w:val="0"/>
        <w:spacing w:line="360" w:lineRule="auto"/>
        <w:ind w:firstLine="479" w:firstLineChars="218"/>
        <w:rPr>
          <w:rFonts w:hint="eastAsia" w:ascii="宋体" w:hAnsi="宋体" w:eastAsia="宋体" w:cs="宋体"/>
          <w:bCs/>
          <w:sz w:val="22"/>
          <w:szCs w:val="22"/>
        </w:rPr>
      </w:pPr>
      <w:r>
        <w:rPr>
          <w:rFonts w:hint="eastAsia" w:ascii="宋体" w:hAnsi="宋体" w:eastAsia="宋体" w:cs="宋体"/>
          <w:bCs/>
          <w:sz w:val="22"/>
          <w:szCs w:val="22"/>
        </w:rPr>
        <w:t>邮    编：</w:t>
      </w:r>
      <w:r>
        <w:rPr>
          <w:rFonts w:hint="eastAsia" w:ascii="宋体" w:hAnsi="宋体" w:eastAsia="宋体" w:cs="宋体"/>
          <w:bCs/>
          <w:sz w:val="22"/>
          <w:szCs w:val="22"/>
          <w:u w:val="single"/>
        </w:rPr>
        <w:t>52300</w:t>
      </w:r>
      <w:r>
        <w:rPr>
          <w:rFonts w:hint="eastAsia" w:ascii="宋体" w:hAnsi="宋体" w:eastAsia="宋体" w:cs="宋体"/>
          <w:bCs/>
          <w:sz w:val="22"/>
          <w:szCs w:val="22"/>
          <w:u w:val="single"/>
          <w:lang w:val="en-US" w:eastAsia="zh-CN"/>
        </w:rPr>
        <w:t>9</w:t>
      </w:r>
      <w:r>
        <w:rPr>
          <w:rFonts w:hint="eastAsia" w:ascii="宋体" w:hAnsi="宋体" w:eastAsia="宋体" w:cs="宋体"/>
          <w:bCs/>
          <w:sz w:val="22"/>
          <w:szCs w:val="22"/>
        </w:rPr>
        <w:t xml:space="preserve">        </w:t>
      </w:r>
    </w:p>
    <w:p>
      <w:pPr>
        <w:snapToGrid w:val="0"/>
        <w:spacing w:line="360" w:lineRule="auto"/>
        <w:ind w:firstLine="479" w:firstLineChars="218"/>
        <w:rPr>
          <w:rFonts w:hint="eastAsia" w:ascii="宋体" w:hAnsi="宋体" w:eastAsia="宋体" w:cs="宋体"/>
          <w:bCs/>
          <w:sz w:val="22"/>
          <w:szCs w:val="22"/>
          <w:u w:val="single"/>
        </w:rPr>
      </w:pPr>
      <w:r>
        <w:rPr>
          <w:rFonts w:hint="eastAsia" w:ascii="宋体" w:hAnsi="宋体" w:eastAsia="宋体" w:cs="宋体"/>
          <w:bCs/>
          <w:sz w:val="22"/>
          <w:szCs w:val="22"/>
        </w:rPr>
        <w:t>联 系 人：</w:t>
      </w:r>
      <w:r>
        <w:rPr>
          <w:rFonts w:hint="eastAsia" w:ascii="宋体" w:hAnsi="宋体" w:eastAsia="宋体" w:cs="宋体"/>
          <w:bCs/>
          <w:sz w:val="22"/>
          <w:szCs w:val="22"/>
          <w:u w:val="single"/>
        </w:rPr>
        <w:t>洪小姐</w:t>
      </w:r>
    </w:p>
    <w:p>
      <w:pPr>
        <w:snapToGrid w:val="0"/>
        <w:spacing w:line="360" w:lineRule="auto"/>
        <w:ind w:left="549" w:leftChars="229" w:hanging="68" w:hangingChars="31"/>
        <w:rPr>
          <w:rFonts w:hint="eastAsia" w:ascii="宋体" w:hAnsi="宋体" w:eastAsia="宋体" w:cs="宋体"/>
          <w:bCs/>
          <w:sz w:val="22"/>
          <w:szCs w:val="22"/>
        </w:rPr>
      </w:pPr>
      <w:r>
        <w:rPr>
          <w:rFonts w:hint="eastAsia" w:ascii="宋体" w:hAnsi="宋体" w:eastAsia="宋体" w:cs="宋体"/>
          <w:bCs/>
          <w:sz w:val="22"/>
          <w:szCs w:val="22"/>
        </w:rPr>
        <w:t>电    话：</w:t>
      </w:r>
      <w:r>
        <w:rPr>
          <w:rFonts w:hint="eastAsia" w:ascii="宋体" w:hAnsi="宋体" w:eastAsia="宋体" w:cs="宋体"/>
          <w:bCs/>
          <w:color w:val="auto"/>
          <w:sz w:val="22"/>
          <w:szCs w:val="22"/>
          <w:u w:val="single"/>
        </w:rPr>
        <w:t>0769-28639813</w:t>
      </w:r>
      <w:r>
        <w:rPr>
          <w:rFonts w:hint="eastAsia" w:ascii="宋体" w:hAnsi="宋体" w:eastAsia="宋体" w:cs="宋体"/>
          <w:bCs/>
          <w:sz w:val="22"/>
          <w:szCs w:val="22"/>
        </w:rPr>
        <w:t xml:space="preserve"> </w:t>
      </w:r>
    </w:p>
    <w:p>
      <w:pPr>
        <w:snapToGrid w:val="0"/>
        <w:spacing w:line="360" w:lineRule="auto"/>
        <w:ind w:left="549" w:leftChars="229" w:hanging="68" w:hangingChars="31"/>
        <w:rPr>
          <w:rFonts w:hint="eastAsia" w:ascii="宋体" w:hAnsi="宋体" w:eastAsia="宋体" w:cs="宋体"/>
          <w:bCs/>
          <w:sz w:val="22"/>
          <w:szCs w:val="22"/>
          <w:u w:val="single"/>
        </w:rPr>
      </w:pPr>
      <w:r>
        <w:rPr>
          <w:rFonts w:hint="eastAsia" w:ascii="宋体" w:hAnsi="宋体" w:eastAsia="宋体" w:cs="宋体"/>
          <w:bCs/>
          <w:sz w:val="22"/>
          <w:szCs w:val="22"/>
        </w:rPr>
        <w:t>传    真：</w:t>
      </w:r>
      <w:r>
        <w:rPr>
          <w:rFonts w:hint="eastAsia" w:ascii="宋体" w:hAnsi="宋体" w:eastAsia="宋体" w:cs="宋体"/>
          <w:bCs/>
          <w:color w:val="auto"/>
          <w:sz w:val="22"/>
          <w:szCs w:val="22"/>
        </w:rPr>
        <w:t>0769-28639813</w:t>
      </w:r>
    </w:p>
    <w:p>
      <w:pPr>
        <w:tabs>
          <w:tab w:val="left" w:pos="480"/>
        </w:tabs>
        <w:snapToGrid w:val="0"/>
        <w:spacing w:line="360" w:lineRule="auto"/>
        <w:ind w:left="480"/>
        <w:rPr>
          <w:rFonts w:hint="eastAsia" w:ascii="宋体" w:hAnsi="宋体" w:eastAsia="宋体" w:cs="宋体"/>
          <w:bCs/>
          <w:sz w:val="22"/>
          <w:szCs w:val="22"/>
        </w:rPr>
      </w:pPr>
    </w:p>
    <w:p>
      <w:pPr>
        <w:tabs>
          <w:tab w:val="left" w:pos="480"/>
        </w:tabs>
        <w:snapToGrid w:val="0"/>
        <w:spacing w:line="360" w:lineRule="auto"/>
        <w:jc w:val="right"/>
        <w:rPr>
          <w:rFonts w:hint="eastAsia" w:ascii="宋体" w:hAnsi="宋体" w:eastAsia="宋体" w:cs="宋体"/>
          <w:bCs/>
          <w:sz w:val="22"/>
          <w:szCs w:val="22"/>
          <w:u w:val="single"/>
        </w:rPr>
      </w:pPr>
      <w:r>
        <w:rPr>
          <w:rFonts w:hint="eastAsia" w:ascii="宋体" w:hAnsi="宋体" w:eastAsia="宋体" w:cs="宋体"/>
          <w:bCs/>
          <w:sz w:val="22"/>
          <w:szCs w:val="22"/>
        </w:rPr>
        <w:t>招标代理机构：</w:t>
      </w:r>
      <w:r>
        <w:rPr>
          <w:rFonts w:hint="eastAsia" w:ascii="宋体" w:hAnsi="宋体" w:eastAsia="宋体" w:cs="宋体"/>
          <w:bCs/>
          <w:sz w:val="22"/>
          <w:szCs w:val="22"/>
          <w:u w:val="single"/>
        </w:rPr>
        <w:t>深圳市国信招标有限公司</w:t>
      </w:r>
      <w:r>
        <w:rPr>
          <w:rFonts w:hint="eastAsia" w:ascii="宋体" w:hAnsi="宋体" w:eastAsia="宋体" w:cs="宋体"/>
          <w:bCs/>
          <w:sz w:val="22"/>
          <w:szCs w:val="22"/>
        </w:rPr>
        <w:t xml:space="preserve"> </w:t>
      </w:r>
    </w:p>
    <w:p>
      <w:pPr>
        <w:tabs>
          <w:tab w:val="left" w:pos="480"/>
        </w:tabs>
        <w:snapToGrid w:val="0"/>
        <w:spacing w:line="360" w:lineRule="auto"/>
        <w:jc w:val="right"/>
        <w:rPr>
          <w:rFonts w:hint="eastAsia" w:ascii="宋体" w:hAnsi="宋体" w:eastAsia="宋体" w:cs="宋体"/>
          <w:bCs/>
          <w:sz w:val="22"/>
          <w:szCs w:val="22"/>
        </w:rPr>
      </w:pPr>
      <w:r>
        <w:rPr>
          <w:rFonts w:hint="eastAsia" w:ascii="宋体" w:hAnsi="宋体" w:eastAsia="宋体" w:cs="宋体"/>
          <w:bCs/>
          <w:sz w:val="22"/>
          <w:szCs w:val="22"/>
          <w:lang w:val="en-US" w:eastAsia="zh-CN"/>
        </w:rPr>
        <w:t>2021</w:t>
      </w:r>
      <w:r>
        <w:rPr>
          <w:rFonts w:hint="eastAsia" w:ascii="宋体" w:hAnsi="宋体" w:eastAsia="宋体" w:cs="宋体"/>
          <w:bCs/>
          <w:sz w:val="22"/>
          <w:szCs w:val="22"/>
        </w:rPr>
        <w:t>年</w:t>
      </w:r>
      <w:r>
        <w:rPr>
          <w:rFonts w:hint="eastAsia" w:ascii="宋体" w:hAnsi="宋体" w:cs="宋体"/>
          <w:bCs/>
          <w:sz w:val="22"/>
          <w:szCs w:val="22"/>
          <w:lang w:val="en-US" w:eastAsia="zh-CN"/>
        </w:rPr>
        <w:t>08</w:t>
      </w:r>
      <w:r>
        <w:rPr>
          <w:rFonts w:hint="eastAsia" w:ascii="宋体" w:hAnsi="宋体" w:eastAsia="宋体" w:cs="宋体"/>
          <w:bCs/>
          <w:sz w:val="22"/>
          <w:szCs w:val="22"/>
        </w:rPr>
        <w:t>月</w:t>
      </w:r>
      <w:r>
        <w:rPr>
          <w:rFonts w:hint="eastAsia" w:ascii="宋体" w:hAnsi="宋体" w:cs="宋体"/>
          <w:bCs/>
          <w:sz w:val="22"/>
          <w:szCs w:val="22"/>
          <w:lang w:val="en-US" w:eastAsia="zh-CN"/>
        </w:rPr>
        <w:t>13</w:t>
      </w:r>
      <w:r>
        <w:rPr>
          <w:rFonts w:hint="eastAsia" w:ascii="宋体" w:hAnsi="宋体" w:eastAsia="宋体" w:cs="宋体"/>
          <w:bCs/>
          <w:sz w:val="22"/>
          <w:szCs w:val="22"/>
        </w:rPr>
        <w:t>日</w:t>
      </w:r>
    </w:p>
    <w:p>
      <w:pPr>
        <w:widowControl/>
        <w:jc w:val="left"/>
        <w:rPr>
          <w:rFonts w:ascii="Times New Roman" w:hAnsi="Times New Roman" w:eastAsia="宋体"/>
        </w:rPr>
      </w:pPr>
      <w:r>
        <w:rPr>
          <w:rFonts w:ascii="Times New Roman" w:hAnsi="Times New Roman" w:eastAsia="宋体"/>
        </w:rPr>
        <w:br w:type="page"/>
      </w: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pStyle w:val="3"/>
        <w:numPr>
          <w:ilvl w:val="0"/>
          <w:numId w:val="3"/>
        </w:numPr>
        <w:jc w:val="center"/>
        <w:rPr>
          <w:rFonts w:ascii="Times New Roman" w:hAnsi="Times New Roman" w:eastAsia="宋体"/>
        </w:rPr>
      </w:pPr>
      <w:bookmarkStart w:id="9" w:name="_Toc61529806"/>
      <w:r>
        <w:rPr>
          <w:rFonts w:ascii="Times New Roman" w:hAnsi="Times New Roman" w:eastAsia="宋体"/>
        </w:rPr>
        <w:t>投标人须知</w:t>
      </w:r>
      <w:bookmarkEnd w:id="5"/>
      <w:bookmarkEnd w:id="9"/>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widowControl/>
        <w:jc w:val="left"/>
        <w:rPr>
          <w:rFonts w:ascii="Times New Roman" w:hAnsi="Times New Roman" w:eastAsia="宋体"/>
        </w:rPr>
      </w:pPr>
      <w:bookmarkStart w:id="10" w:name="_Toc425348132"/>
      <w:bookmarkStart w:id="11" w:name="_Toc441844050"/>
      <w:bookmarkStart w:id="12" w:name="_Toc396137231"/>
      <w:r>
        <w:rPr>
          <w:rFonts w:ascii="Times New Roman" w:hAnsi="Times New Roman" w:eastAsia="宋体"/>
        </w:rPr>
        <w:br w:type="page"/>
      </w:r>
    </w:p>
    <w:p>
      <w:pPr>
        <w:pStyle w:val="4"/>
        <w:spacing w:line="360" w:lineRule="auto"/>
        <w:ind w:left="0" w:firstLine="0"/>
        <w:jc w:val="center"/>
        <w:rPr>
          <w:rFonts w:ascii="Times New Roman" w:hAnsi="Times New Roman" w:eastAsia="宋体"/>
          <w:bCs/>
          <w:kern w:val="44"/>
          <w:lang w:val="zh-CN"/>
        </w:rPr>
      </w:pPr>
      <w:bookmarkStart w:id="13" w:name="_Toc61529807"/>
      <w:r>
        <w:rPr>
          <w:rFonts w:ascii="Times New Roman" w:hAnsi="Times New Roman" w:eastAsia="宋体"/>
          <w:bCs/>
          <w:kern w:val="44"/>
          <w:lang w:val="zh-CN"/>
        </w:rPr>
        <w:t>一、投标人须知前附表</w:t>
      </w:r>
      <w:bookmarkEnd w:id="10"/>
      <w:bookmarkEnd w:id="11"/>
      <w:bookmarkEnd w:id="12"/>
      <w:bookmarkEnd w:id="13"/>
    </w:p>
    <w:tbl>
      <w:tblPr>
        <w:tblStyle w:val="51"/>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559"/>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项目</w:t>
            </w:r>
          </w:p>
        </w:tc>
        <w:tc>
          <w:tcPr>
            <w:tcW w:w="1559" w:type="dxa"/>
            <w:noWrap w:val="0"/>
            <w:vAlign w:val="center"/>
          </w:tcPr>
          <w:p>
            <w:pPr>
              <w:spacing w:line="360" w:lineRule="auto"/>
              <w:jc w:val="center"/>
              <w:rPr>
                <w:rFonts w:ascii="宋体" w:hAnsi="宋体"/>
                <w:sz w:val="22"/>
                <w:szCs w:val="22"/>
              </w:rPr>
            </w:pPr>
            <w:r>
              <w:rPr>
                <w:rFonts w:ascii="宋体" w:hAnsi="宋体"/>
                <w:sz w:val="22"/>
                <w:szCs w:val="22"/>
              </w:rPr>
              <w:t>内容</w:t>
            </w:r>
          </w:p>
        </w:tc>
        <w:tc>
          <w:tcPr>
            <w:tcW w:w="6749" w:type="dxa"/>
            <w:noWrap w:val="0"/>
            <w:vAlign w:val="center"/>
          </w:tcPr>
          <w:p>
            <w:pPr>
              <w:spacing w:line="360" w:lineRule="auto"/>
              <w:jc w:val="center"/>
              <w:rPr>
                <w:rFonts w:ascii="宋体" w:hAnsi="宋体"/>
                <w:sz w:val="22"/>
                <w:szCs w:val="22"/>
              </w:rPr>
            </w:pPr>
            <w:r>
              <w:rPr>
                <w:rFonts w:ascii="宋体" w:hAnsi="宋体"/>
                <w:sz w:val="22"/>
                <w:szCs w:val="22"/>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1.2</w:t>
            </w:r>
          </w:p>
        </w:tc>
        <w:tc>
          <w:tcPr>
            <w:tcW w:w="1559" w:type="dxa"/>
            <w:noWrap w:val="0"/>
            <w:vAlign w:val="center"/>
          </w:tcPr>
          <w:p>
            <w:pPr>
              <w:rPr>
                <w:rFonts w:ascii="宋体" w:hAnsi="宋体"/>
                <w:sz w:val="22"/>
                <w:szCs w:val="22"/>
              </w:rPr>
            </w:pPr>
            <w:r>
              <w:rPr>
                <w:rFonts w:ascii="宋体" w:hAnsi="宋体"/>
                <w:sz w:val="22"/>
                <w:szCs w:val="22"/>
              </w:rPr>
              <w:t>资金来源</w:t>
            </w:r>
          </w:p>
        </w:tc>
        <w:tc>
          <w:tcPr>
            <w:tcW w:w="6749" w:type="dxa"/>
            <w:noWrap w:val="0"/>
            <w:vAlign w:val="center"/>
          </w:tcPr>
          <w:p>
            <w:pPr>
              <w:rPr>
                <w:rFonts w:ascii="宋体" w:hAnsi="宋体"/>
                <w:sz w:val="22"/>
                <w:szCs w:val="22"/>
              </w:rPr>
            </w:pPr>
            <w:r>
              <w:rPr>
                <w:rFonts w:ascii="宋体" w:hAnsi="宋体"/>
                <w:sz w:val="22"/>
                <w:szCs w:val="22"/>
              </w:rPr>
              <w:t>自筹资金，资金已落实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1.3</w:t>
            </w:r>
          </w:p>
        </w:tc>
        <w:tc>
          <w:tcPr>
            <w:tcW w:w="1559" w:type="dxa"/>
            <w:noWrap w:val="0"/>
            <w:vAlign w:val="center"/>
          </w:tcPr>
          <w:p>
            <w:pPr>
              <w:rPr>
                <w:rFonts w:ascii="宋体" w:hAnsi="宋体"/>
                <w:sz w:val="22"/>
                <w:szCs w:val="22"/>
              </w:rPr>
            </w:pPr>
            <w:r>
              <w:rPr>
                <w:rFonts w:ascii="宋体" w:hAnsi="宋体"/>
                <w:sz w:val="22"/>
                <w:szCs w:val="22"/>
              </w:rPr>
              <w:t>项目预算金额</w:t>
            </w:r>
          </w:p>
        </w:tc>
        <w:tc>
          <w:tcPr>
            <w:tcW w:w="6749" w:type="dxa"/>
            <w:noWrap w:val="0"/>
            <w:vAlign w:val="center"/>
          </w:tcPr>
          <w:p>
            <w:pPr>
              <w:rPr>
                <w:rFonts w:ascii="宋体" w:hAnsi="宋体"/>
                <w:sz w:val="22"/>
                <w:szCs w:val="22"/>
              </w:rPr>
            </w:pPr>
            <w:r>
              <w:rPr>
                <w:rFonts w:hint="eastAsia" w:ascii="宋体" w:hAnsi="宋体"/>
                <w:bCs/>
                <w:sz w:val="22"/>
                <w:szCs w:val="22"/>
              </w:rPr>
              <w:t>1,827,936.80元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2.1</w:t>
            </w:r>
          </w:p>
        </w:tc>
        <w:tc>
          <w:tcPr>
            <w:tcW w:w="1559" w:type="dxa"/>
            <w:noWrap w:val="0"/>
            <w:vAlign w:val="center"/>
          </w:tcPr>
          <w:p>
            <w:pPr>
              <w:rPr>
                <w:rFonts w:ascii="宋体" w:hAnsi="宋体"/>
                <w:sz w:val="22"/>
                <w:szCs w:val="22"/>
              </w:rPr>
            </w:pPr>
            <w:r>
              <w:rPr>
                <w:rFonts w:hint="eastAsia" w:ascii="宋体" w:hAnsi="宋体"/>
                <w:sz w:val="22"/>
                <w:szCs w:val="22"/>
              </w:rPr>
              <w:t>招标</w:t>
            </w:r>
            <w:r>
              <w:rPr>
                <w:rFonts w:ascii="宋体" w:hAnsi="宋体"/>
                <w:sz w:val="22"/>
                <w:szCs w:val="22"/>
              </w:rPr>
              <w:t>人</w:t>
            </w:r>
          </w:p>
        </w:tc>
        <w:tc>
          <w:tcPr>
            <w:tcW w:w="6749" w:type="dxa"/>
            <w:noWrap w:val="0"/>
            <w:vAlign w:val="center"/>
          </w:tcPr>
          <w:p>
            <w:pPr>
              <w:spacing w:line="360" w:lineRule="auto"/>
              <w:rPr>
                <w:rFonts w:ascii="宋体" w:hAnsi="宋体"/>
                <w:i/>
                <w:sz w:val="22"/>
                <w:szCs w:val="22"/>
              </w:rPr>
            </w:pPr>
            <w:r>
              <w:rPr>
                <w:rFonts w:hint="eastAsia" w:ascii="宋体" w:hAnsi="宋体"/>
                <w:sz w:val="22"/>
                <w:szCs w:val="22"/>
                <w:lang w:val="zh-CN"/>
              </w:rPr>
              <w:t>东莞市轨道交通有限公司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2.2</w:t>
            </w:r>
          </w:p>
        </w:tc>
        <w:tc>
          <w:tcPr>
            <w:tcW w:w="1559" w:type="dxa"/>
            <w:noWrap w:val="0"/>
            <w:vAlign w:val="center"/>
          </w:tcPr>
          <w:p>
            <w:pPr>
              <w:rPr>
                <w:rFonts w:ascii="宋体" w:hAnsi="宋体"/>
                <w:sz w:val="22"/>
                <w:szCs w:val="22"/>
              </w:rPr>
            </w:pPr>
            <w:r>
              <w:rPr>
                <w:rFonts w:hint="eastAsia" w:ascii="宋体" w:hAnsi="宋体"/>
                <w:sz w:val="22"/>
                <w:szCs w:val="22"/>
              </w:rPr>
              <w:t>招标</w:t>
            </w:r>
            <w:r>
              <w:rPr>
                <w:rFonts w:ascii="宋体" w:hAnsi="宋体"/>
                <w:sz w:val="22"/>
                <w:szCs w:val="22"/>
              </w:rPr>
              <w:t>代理机构</w:t>
            </w:r>
          </w:p>
        </w:tc>
        <w:tc>
          <w:tcPr>
            <w:tcW w:w="6749" w:type="dxa"/>
            <w:noWrap w:val="0"/>
            <w:vAlign w:val="center"/>
          </w:tcPr>
          <w:p>
            <w:pPr>
              <w:spacing w:line="360" w:lineRule="auto"/>
              <w:rPr>
                <w:rFonts w:ascii="宋体" w:hAnsi="宋体"/>
                <w:sz w:val="22"/>
                <w:szCs w:val="22"/>
                <w:lang w:val="zh-CN"/>
              </w:rPr>
            </w:pPr>
            <w:r>
              <w:rPr>
                <w:rFonts w:hint="eastAsia" w:ascii="宋体" w:hAnsi="宋体"/>
                <w:sz w:val="22"/>
                <w:szCs w:val="22"/>
                <w:lang w:val="zh-CN"/>
              </w:rPr>
              <w:t>深圳市国信招标有限公司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3</w:t>
            </w:r>
          </w:p>
        </w:tc>
        <w:tc>
          <w:tcPr>
            <w:tcW w:w="1559" w:type="dxa"/>
            <w:noWrap w:val="0"/>
            <w:vAlign w:val="center"/>
          </w:tcPr>
          <w:p>
            <w:pPr>
              <w:rPr>
                <w:rFonts w:ascii="宋体" w:hAnsi="宋体"/>
                <w:sz w:val="22"/>
                <w:szCs w:val="22"/>
              </w:rPr>
            </w:pPr>
            <w:r>
              <w:rPr>
                <w:rFonts w:ascii="宋体" w:hAnsi="宋体"/>
                <w:sz w:val="22"/>
                <w:szCs w:val="22"/>
              </w:rPr>
              <w:t>合格的投标人</w:t>
            </w:r>
          </w:p>
        </w:tc>
        <w:tc>
          <w:tcPr>
            <w:tcW w:w="6749" w:type="dxa"/>
            <w:noWrap w:val="0"/>
            <w:vAlign w:val="center"/>
          </w:tcPr>
          <w:p>
            <w:pPr>
              <w:spacing w:line="360" w:lineRule="auto"/>
              <w:rPr>
                <w:rFonts w:ascii="宋体" w:hAnsi="宋体"/>
                <w:sz w:val="22"/>
                <w:szCs w:val="22"/>
                <w:u w:val="single"/>
                <w:lang w:val="zh-CN"/>
              </w:rPr>
            </w:pPr>
            <w:r>
              <w:rPr>
                <w:rFonts w:ascii="宋体" w:hAnsi="宋体"/>
                <w:bCs/>
                <w:sz w:val="22"/>
                <w:szCs w:val="22"/>
              </w:rPr>
              <w:t>见第一章《投标邀请》中第5款的</w:t>
            </w:r>
            <w:r>
              <w:rPr>
                <w:rFonts w:ascii="宋体" w:hAnsi="宋体"/>
                <w:b/>
                <w:bCs/>
                <w:sz w:val="22"/>
                <w:szCs w:val="22"/>
                <w:u w:val="single"/>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3.6</w:t>
            </w:r>
          </w:p>
        </w:tc>
        <w:tc>
          <w:tcPr>
            <w:tcW w:w="1559" w:type="dxa"/>
            <w:noWrap w:val="0"/>
            <w:vAlign w:val="center"/>
          </w:tcPr>
          <w:p>
            <w:pPr>
              <w:rPr>
                <w:rFonts w:ascii="宋体" w:hAnsi="宋体"/>
                <w:sz w:val="22"/>
                <w:szCs w:val="22"/>
              </w:rPr>
            </w:pPr>
            <w:r>
              <w:rPr>
                <w:rFonts w:ascii="宋体" w:hAnsi="宋体"/>
                <w:sz w:val="22"/>
                <w:szCs w:val="22"/>
              </w:rPr>
              <w:t>关于联合体投标</w:t>
            </w:r>
          </w:p>
        </w:tc>
        <w:tc>
          <w:tcPr>
            <w:tcW w:w="6749" w:type="dxa"/>
            <w:noWrap w:val="0"/>
            <w:vAlign w:val="center"/>
          </w:tcPr>
          <w:p>
            <w:pPr>
              <w:spacing w:line="360" w:lineRule="auto"/>
              <w:rPr>
                <w:rFonts w:ascii="宋体" w:hAnsi="宋体"/>
                <w:sz w:val="22"/>
                <w:szCs w:val="22"/>
                <w:lang w:val="zh-CN"/>
              </w:rPr>
            </w:pPr>
            <w:r>
              <w:rPr>
                <w:rFonts w:ascii="宋体" w:hAnsi="宋体"/>
                <w:sz w:val="22"/>
                <w:szCs w:val="22"/>
                <w:lang w:val="zh-CN"/>
              </w:rPr>
              <w:t>本项目</w:t>
            </w:r>
            <w:r>
              <w:rPr>
                <w:rFonts w:ascii="宋体" w:hAnsi="宋体"/>
                <w:b/>
                <w:sz w:val="22"/>
                <w:szCs w:val="22"/>
                <w:u w:val="single"/>
                <w:lang w:val="zh-CN"/>
              </w:rPr>
              <w:t>不允许</w:t>
            </w:r>
            <w:r>
              <w:rPr>
                <w:rFonts w:ascii="宋体" w:hAnsi="宋体"/>
                <w:sz w:val="22"/>
                <w:szCs w:val="22"/>
                <w:lang w:val="zh-CN"/>
              </w:rPr>
              <w:t>联合体投标，招标文件中与允许联合体投标有关的条款、文字表述或格式不适用于本次</w:t>
            </w:r>
            <w:r>
              <w:rPr>
                <w:rFonts w:hint="eastAsia" w:ascii="宋体" w:hAnsi="宋体"/>
                <w:sz w:val="22"/>
                <w:szCs w:val="22"/>
                <w:lang w:val="zh-CN"/>
              </w:rPr>
              <w:t>招标</w:t>
            </w:r>
            <w:r>
              <w:rPr>
                <w:rFonts w:ascii="宋体" w:hAnsi="宋体"/>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6</w:t>
            </w:r>
          </w:p>
        </w:tc>
        <w:tc>
          <w:tcPr>
            <w:tcW w:w="1559" w:type="dxa"/>
            <w:noWrap w:val="0"/>
            <w:vAlign w:val="center"/>
          </w:tcPr>
          <w:p>
            <w:pPr>
              <w:rPr>
                <w:rFonts w:ascii="宋体" w:hAnsi="宋体"/>
                <w:sz w:val="22"/>
                <w:szCs w:val="22"/>
              </w:rPr>
            </w:pPr>
            <w:r>
              <w:rPr>
                <w:rFonts w:ascii="宋体" w:hAnsi="宋体"/>
                <w:sz w:val="22"/>
                <w:szCs w:val="22"/>
              </w:rPr>
              <w:t>踏勘现场</w:t>
            </w:r>
          </w:p>
        </w:tc>
        <w:tc>
          <w:tcPr>
            <w:tcW w:w="6749" w:type="dxa"/>
            <w:noWrap w:val="0"/>
            <w:vAlign w:val="center"/>
          </w:tcPr>
          <w:p>
            <w:pPr>
              <w:spacing w:line="360" w:lineRule="auto"/>
              <w:rPr>
                <w:rFonts w:ascii="宋体" w:hAnsi="宋体"/>
                <w:sz w:val="22"/>
                <w:szCs w:val="22"/>
              </w:rPr>
            </w:pPr>
            <w:r>
              <w:rPr>
                <w:rFonts w:hint="eastAsia" w:ascii="宋体" w:hAnsi="宋体"/>
                <w:sz w:val="22"/>
                <w:szCs w:val="22"/>
              </w:rPr>
              <w:t>招标</w:t>
            </w:r>
            <w:r>
              <w:rPr>
                <w:rFonts w:ascii="宋体" w:hAnsi="宋体"/>
                <w:sz w:val="22"/>
                <w:szCs w:val="22"/>
              </w:rPr>
              <w:t>人不集中组织，由投标人自行踏勘现场。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8</w:t>
            </w:r>
          </w:p>
        </w:tc>
        <w:tc>
          <w:tcPr>
            <w:tcW w:w="1559" w:type="dxa"/>
            <w:noWrap w:val="0"/>
            <w:vAlign w:val="center"/>
          </w:tcPr>
          <w:p>
            <w:pPr>
              <w:rPr>
                <w:rFonts w:ascii="宋体" w:hAnsi="宋体"/>
                <w:sz w:val="22"/>
                <w:szCs w:val="22"/>
              </w:rPr>
            </w:pPr>
            <w:r>
              <w:rPr>
                <w:rFonts w:ascii="宋体" w:hAnsi="宋体"/>
                <w:sz w:val="22"/>
                <w:szCs w:val="22"/>
              </w:rPr>
              <w:t>招标文件的</w:t>
            </w:r>
            <w:r>
              <w:rPr>
                <w:rFonts w:hint="eastAsia" w:ascii="宋体" w:hAnsi="宋体"/>
                <w:sz w:val="22"/>
                <w:szCs w:val="22"/>
              </w:rPr>
              <w:t>异议</w:t>
            </w:r>
          </w:p>
        </w:tc>
        <w:tc>
          <w:tcPr>
            <w:tcW w:w="6749" w:type="dxa"/>
            <w:noWrap w:val="0"/>
            <w:vAlign w:val="center"/>
          </w:tcPr>
          <w:p>
            <w:pPr>
              <w:spacing w:line="360" w:lineRule="auto"/>
              <w:rPr>
                <w:rFonts w:ascii="宋体" w:hAnsi="宋体"/>
                <w:sz w:val="22"/>
                <w:szCs w:val="22"/>
              </w:rPr>
            </w:pPr>
            <w:r>
              <w:rPr>
                <w:rFonts w:hint="eastAsia" w:ascii="宋体" w:hAnsi="宋体"/>
                <w:sz w:val="22"/>
                <w:szCs w:val="22"/>
              </w:rPr>
              <w:t>见第二章《投标须知》中第8款的</w:t>
            </w:r>
            <w:r>
              <w:rPr>
                <w:rFonts w:hint="eastAsia" w:ascii="宋体" w:hAnsi="宋体"/>
                <w:b/>
                <w:sz w:val="22"/>
                <w:szCs w:val="22"/>
                <w:u w:val="single"/>
              </w:rPr>
              <w:t>招标文件的异议</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b/>
                <w:sz w:val="22"/>
                <w:szCs w:val="22"/>
              </w:rPr>
              <w:t>★</w:t>
            </w:r>
            <w:r>
              <w:rPr>
                <w:rFonts w:ascii="宋体" w:hAnsi="宋体"/>
                <w:sz w:val="22"/>
                <w:szCs w:val="22"/>
              </w:rPr>
              <w:t>14</w:t>
            </w:r>
          </w:p>
        </w:tc>
        <w:tc>
          <w:tcPr>
            <w:tcW w:w="1559" w:type="dxa"/>
            <w:noWrap w:val="0"/>
            <w:vAlign w:val="center"/>
          </w:tcPr>
          <w:p>
            <w:pPr>
              <w:rPr>
                <w:rFonts w:ascii="宋体" w:hAnsi="宋体"/>
                <w:sz w:val="22"/>
                <w:szCs w:val="22"/>
              </w:rPr>
            </w:pPr>
            <w:r>
              <w:rPr>
                <w:rFonts w:ascii="宋体" w:hAnsi="宋体"/>
                <w:sz w:val="22"/>
                <w:szCs w:val="22"/>
              </w:rPr>
              <w:t>报价</w:t>
            </w:r>
            <w:r>
              <w:rPr>
                <w:rFonts w:hint="eastAsia" w:ascii="宋体" w:hAnsi="宋体"/>
                <w:sz w:val="22"/>
                <w:szCs w:val="22"/>
              </w:rPr>
              <w:t>要求</w:t>
            </w:r>
          </w:p>
        </w:tc>
        <w:tc>
          <w:tcPr>
            <w:tcW w:w="6749" w:type="dxa"/>
            <w:noWrap w:val="0"/>
            <w:vAlign w:val="center"/>
          </w:tcPr>
          <w:p>
            <w:pPr>
              <w:spacing w:line="360" w:lineRule="auto"/>
              <w:rPr>
                <w:rFonts w:hint="eastAsia" w:ascii="宋体" w:hAnsi="宋体" w:cs="Times New Roman"/>
                <w:sz w:val="22"/>
                <w:szCs w:val="22"/>
                <w:lang w:val="zh-CN"/>
              </w:rPr>
            </w:pPr>
            <w:r>
              <w:rPr>
                <w:rFonts w:hint="eastAsia" w:ascii="宋体" w:hAnsi="宋体" w:cs="Times New Roman"/>
                <w:sz w:val="22"/>
                <w:szCs w:val="22"/>
                <w:lang w:val="zh-CN"/>
              </w:rPr>
              <w:t>1.报价应包含完成全部用户需求书内容的含税人民币价格。包括但不限于：设计、生产、随机零配件、包装、运输、装卸、保险、技术服务、检验检测、培训、质保期服务、售后期服务等发生的所有可预见和不可预见的费用及一切税费。货物运输过程以及现场保管所产生的全部费用。</w:t>
            </w:r>
          </w:p>
          <w:p>
            <w:pPr>
              <w:spacing w:line="360" w:lineRule="auto"/>
              <w:rPr>
                <w:rFonts w:hint="eastAsia" w:ascii="宋体" w:hAnsi="宋体" w:cs="Times New Roman"/>
                <w:sz w:val="22"/>
                <w:szCs w:val="22"/>
                <w:lang w:val="zh-CN"/>
              </w:rPr>
            </w:pPr>
            <w:r>
              <w:rPr>
                <w:rFonts w:hint="eastAsia" w:ascii="宋体" w:hAnsi="宋体" w:cs="Times New Roman"/>
                <w:sz w:val="22"/>
                <w:szCs w:val="22"/>
                <w:lang w:val="zh-CN"/>
              </w:rPr>
              <w:t>2.投标报价应包括国家规定的所有税费及与项目相关的所有费用。</w:t>
            </w:r>
          </w:p>
          <w:p>
            <w:pPr>
              <w:spacing w:line="360" w:lineRule="auto"/>
              <w:rPr>
                <w:rFonts w:hint="eastAsia" w:ascii="宋体" w:hAnsi="宋体" w:cs="Times New Roman"/>
                <w:sz w:val="22"/>
                <w:szCs w:val="22"/>
                <w:lang w:val="zh-CN"/>
              </w:rPr>
            </w:pPr>
            <w:r>
              <w:rPr>
                <w:rFonts w:hint="eastAsia" w:ascii="宋体" w:hAnsi="宋体" w:cs="Times New Roman"/>
                <w:sz w:val="22"/>
                <w:szCs w:val="22"/>
                <w:lang w:val="zh-CN"/>
              </w:rPr>
              <w:t>3.投标人应以人民币为结算单位。</w:t>
            </w:r>
          </w:p>
          <w:p>
            <w:pPr>
              <w:spacing w:line="360" w:lineRule="auto"/>
            </w:pPr>
            <w:r>
              <w:rPr>
                <w:rFonts w:hint="eastAsia" w:ascii="宋体" w:hAnsi="宋体" w:cs="Times New Roman"/>
                <w:sz w:val="22"/>
                <w:szCs w:val="22"/>
                <w:lang w:val="en-US" w:eastAsia="zh-CN"/>
              </w:rPr>
              <w:t>4.</w:t>
            </w:r>
            <w:r>
              <w:rPr>
                <w:rFonts w:hint="eastAsia" w:ascii="宋体" w:hAnsi="宋体" w:cs="Times New Roman"/>
                <w:sz w:val="22"/>
                <w:szCs w:val="22"/>
                <w:lang w:val="zh-CN"/>
              </w:rPr>
              <w:t>投标报价超出采购预算金额的投标为无效标。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16.1</w:t>
            </w:r>
          </w:p>
        </w:tc>
        <w:tc>
          <w:tcPr>
            <w:tcW w:w="1559" w:type="dxa"/>
            <w:noWrap w:val="0"/>
            <w:vAlign w:val="center"/>
          </w:tcPr>
          <w:p>
            <w:pPr>
              <w:rPr>
                <w:rFonts w:ascii="宋体" w:hAnsi="宋体"/>
                <w:sz w:val="22"/>
                <w:szCs w:val="22"/>
              </w:rPr>
            </w:pPr>
            <w:r>
              <w:rPr>
                <w:rFonts w:ascii="宋体" w:hAnsi="宋体"/>
                <w:sz w:val="22"/>
                <w:szCs w:val="22"/>
              </w:rPr>
              <w:t>投标</w:t>
            </w:r>
            <w:r>
              <w:rPr>
                <w:rFonts w:hint="eastAsia" w:ascii="宋体" w:hAnsi="宋体"/>
                <w:sz w:val="22"/>
                <w:szCs w:val="22"/>
              </w:rPr>
              <w:t>保证金</w:t>
            </w:r>
          </w:p>
        </w:tc>
        <w:tc>
          <w:tcPr>
            <w:tcW w:w="6749" w:type="dxa"/>
            <w:noWrap w:val="0"/>
            <w:vAlign w:val="center"/>
          </w:tcPr>
          <w:p>
            <w:pPr>
              <w:pStyle w:val="278"/>
              <w:spacing w:line="360" w:lineRule="auto"/>
              <w:jc w:val="both"/>
              <w:rPr>
                <w:rFonts w:ascii="宋体" w:hAnsi="宋体" w:cs="Times New Roman"/>
                <w:color w:val="auto"/>
                <w:kern w:val="2"/>
                <w:sz w:val="22"/>
                <w:szCs w:val="22"/>
                <w:highlight w:val="none"/>
                <w:shd w:val="clear" w:color="auto" w:fill="FFFFFF"/>
              </w:rPr>
            </w:pPr>
            <w:r>
              <w:rPr>
                <w:rFonts w:ascii="宋体" w:hAnsi="宋体" w:cs="Times New Roman"/>
                <w:color w:val="auto"/>
                <w:kern w:val="2"/>
                <w:sz w:val="22"/>
                <w:szCs w:val="22"/>
                <w:highlight w:val="none"/>
                <w:shd w:val="clear" w:color="auto" w:fill="FFFFFF"/>
              </w:rPr>
              <w:t>投标保证金的形式：</w:t>
            </w:r>
          </w:p>
          <w:p>
            <w:pPr>
              <w:pStyle w:val="278"/>
              <w:spacing w:line="360" w:lineRule="auto"/>
              <w:jc w:val="both"/>
              <w:rPr>
                <w:rFonts w:ascii="宋体" w:hAnsi="宋体" w:cs="Times New Roman"/>
                <w:color w:val="auto"/>
                <w:kern w:val="2"/>
                <w:sz w:val="22"/>
                <w:szCs w:val="22"/>
                <w:highlight w:val="none"/>
                <w:shd w:val="clear" w:color="auto" w:fill="FFFFFF"/>
              </w:rPr>
            </w:pPr>
            <w:r>
              <w:rPr>
                <w:rFonts w:hint="eastAsia" w:ascii="宋体" w:hAnsi="宋体" w:cs="Times New Roman"/>
                <w:color w:val="auto"/>
                <w:kern w:val="2"/>
                <w:sz w:val="22"/>
                <w:szCs w:val="22"/>
                <w:highlight w:val="none"/>
                <w:shd w:val="clear" w:color="auto" w:fill="FFFFFF"/>
              </w:rPr>
              <w:sym w:font="Wingdings 2" w:char="0052"/>
            </w:r>
            <w:r>
              <w:rPr>
                <w:rFonts w:ascii="宋体" w:hAnsi="宋体" w:cs="Times New Roman"/>
                <w:color w:val="auto"/>
                <w:kern w:val="2"/>
                <w:sz w:val="22"/>
                <w:szCs w:val="22"/>
                <w:highlight w:val="none"/>
                <w:shd w:val="clear" w:color="auto" w:fill="FFFFFF"/>
              </w:rPr>
              <w:t>1、单项投标保证金；</w:t>
            </w:r>
          </w:p>
          <w:p>
            <w:pPr>
              <w:pStyle w:val="278"/>
              <w:spacing w:line="360" w:lineRule="auto"/>
              <w:jc w:val="both"/>
              <w:rPr>
                <w:rFonts w:ascii="宋体" w:hAnsi="宋体" w:cs="Times New Roman"/>
                <w:color w:val="auto"/>
                <w:kern w:val="2"/>
                <w:sz w:val="22"/>
                <w:szCs w:val="22"/>
                <w:highlight w:val="none"/>
                <w:shd w:val="clear" w:color="auto" w:fill="FFFFFF"/>
              </w:rPr>
            </w:pPr>
            <w:r>
              <w:rPr>
                <w:rFonts w:hint="eastAsia" w:ascii="宋体" w:hAnsi="宋体" w:cs="Times New Roman"/>
                <w:color w:val="auto"/>
                <w:kern w:val="2"/>
                <w:sz w:val="22"/>
                <w:szCs w:val="22"/>
                <w:highlight w:val="none"/>
                <w:shd w:val="clear" w:color="auto" w:fill="FFFFFF"/>
              </w:rPr>
              <w:t>□</w:t>
            </w:r>
            <w:r>
              <w:rPr>
                <w:rFonts w:ascii="宋体" w:hAnsi="宋体" w:cs="Times New Roman"/>
                <w:color w:val="auto"/>
                <w:kern w:val="2"/>
                <w:sz w:val="22"/>
                <w:szCs w:val="22"/>
                <w:highlight w:val="none"/>
                <w:shd w:val="clear" w:color="auto" w:fill="FFFFFF"/>
              </w:rPr>
              <w:t>2、</w:t>
            </w:r>
            <w:r>
              <w:rPr>
                <w:rFonts w:hint="eastAsia" w:ascii="宋体" w:hAnsi="宋体" w:cs="Times New Roman"/>
                <w:color w:val="auto"/>
                <w:kern w:val="2"/>
                <w:sz w:val="22"/>
                <w:szCs w:val="22"/>
                <w:highlight w:val="none"/>
                <w:shd w:val="clear" w:color="auto" w:fill="FFFFFF"/>
              </w:rPr>
              <w:t>投标担</w:t>
            </w:r>
            <w:r>
              <w:rPr>
                <w:rFonts w:ascii="宋体" w:hAnsi="宋体" w:cs="Times New Roman"/>
                <w:color w:val="auto"/>
                <w:kern w:val="2"/>
                <w:sz w:val="22"/>
                <w:szCs w:val="22"/>
                <w:highlight w:val="none"/>
                <w:shd w:val="clear" w:color="auto" w:fill="FFFFFF"/>
              </w:rPr>
              <w:t>保函；</w:t>
            </w:r>
          </w:p>
          <w:p>
            <w:pPr>
              <w:spacing w:line="360" w:lineRule="auto"/>
              <w:rPr>
                <w:rFonts w:ascii="宋体" w:hAnsi="宋体"/>
                <w:b/>
                <w:sz w:val="22"/>
                <w:szCs w:val="22"/>
              </w:rPr>
            </w:pPr>
            <w:r>
              <w:rPr>
                <w:rFonts w:ascii="宋体" w:hAnsi="宋体"/>
                <w:b/>
                <w:bCs/>
                <w:sz w:val="22"/>
                <w:szCs w:val="22"/>
              </w:rPr>
              <w:t>投标</w:t>
            </w:r>
            <w:r>
              <w:rPr>
                <w:rFonts w:hint="eastAsia" w:ascii="宋体" w:hAnsi="宋体"/>
                <w:b/>
                <w:bCs/>
                <w:sz w:val="22"/>
                <w:szCs w:val="22"/>
              </w:rPr>
              <w:t>保证金</w:t>
            </w:r>
            <w:r>
              <w:rPr>
                <w:rFonts w:ascii="宋体" w:hAnsi="宋体"/>
                <w:b/>
                <w:bCs/>
                <w:sz w:val="22"/>
                <w:szCs w:val="22"/>
              </w:rPr>
              <w:t>金额：</w:t>
            </w:r>
            <w:r>
              <w:rPr>
                <w:rFonts w:hint="eastAsia" w:ascii="宋体" w:hAnsi="宋体"/>
                <w:b/>
                <w:bCs/>
                <w:sz w:val="22"/>
                <w:szCs w:val="22"/>
                <w:lang w:val="en-US" w:eastAsia="zh-CN"/>
              </w:rPr>
              <w:t>17,000.00</w:t>
            </w:r>
            <w:r>
              <w:rPr>
                <w:rFonts w:ascii="宋体" w:hAnsi="宋体"/>
                <w:b/>
                <w:sz w:val="22"/>
                <w:szCs w:val="22"/>
              </w:rPr>
              <w:t>元</w:t>
            </w:r>
            <w:r>
              <w:rPr>
                <w:rFonts w:hint="eastAsia" w:ascii="宋体" w:hAnsi="宋体"/>
                <w:b/>
                <w:sz w:val="22"/>
                <w:szCs w:val="22"/>
              </w:rPr>
              <w:t>；</w:t>
            </w:r>
          </w:p>
          <w:p>
            <w:pPr>
              <w:spacing w:line="360" w:lineRule="auto"/>
              <w:rPr>
                <w:rFonts w:ascii="宋体" w:hAnsi="宋体"/>
                <w:sz w:val="22"/>
                <w:szCs w:val="22"/>
                <w:u w:val="single"/>
              </w:rPr>
            </w:pPr>
            <w:bookmarkStart w:id="14" w:name="_Hlk1990421"/>
            <w:r>
              <w:rPr>
                <w:rFonts w:ascii="宋体" w:hAnsi="宋体"/>
                <w:sz w:val="22"/>
                <w:szCs w:val="22"/>
              </w:rPr>
              <w:t>投标保证金账户</w:t>
            </w:r>
            <w:bookmarkEnd w:id="14"/>
            <w:r>
              <w:rPr>
                <w:rFonts w:ascii="宋体" w:hAnsi="宋体"/>
                <w:sz w:val="22"/>
                <w:szCs w:val="22"/>
              </w:rPr>
              <w:t>：</w:t>
            </w:r>
          </w:p>
          <w:p>
            <w:pPr>
              <w:spacing w:line="360" w:lineRule="auto"/>
              <w:rPr>
                <w:rFonts w:ascii="宋体" w:hAnsi="宋体"/>
                <w:sz w:val="22"/>
                <w:szCs w:val="22"/>
                <w:u w:val="single"/>
              </w:rPr>
            </w:pPr>
            <w:r>
              <w:rPr>
                <w:rFonts w:ascii="宋体" w:hAnsi="宋体"/>
                <w:sz w:val="22"/>
                <w:szCs w:val="22"/>
              </w:rPr>
              <w:t>开户名称：</w:t>
            </w:r>
            <w:r>
              <w:rPr>
                <w:rFonts w:hint="eastAsia" w:ascii="宋体" w:hAnsi="宋体"/>
                <w:bCs/>
                <w:sz w:val="22"/>
                <w:szCs w:val="22"/>
                <w:u w:val="single"/>
              </w:rPr>
              <w:t>深圳市国信招标有限公司东莞分公司</w:t>
            </w:r>
          </w:p>
          <w:p>
            <w:pPr>
              <w:spacing w:line="360" w:lineRule="auto"/>
              <w:rPr>
                <w:rFonts w:ascii="宋体" w:hAnsi="宋体"/>
                <w:sz w:val="22"/>
                <w:szCs w:val="22"/>
              </w:rPr>
            </w:pPr>
            <w:r>
              <w:rPr>
                <w:rFonts w:ascii="宋体" w:hAnsi="宋体"/>
                <w:sz w:val="22"/>
                <w:szCs w:val="22"/>
              </w:rPr>
              <w:t>开户银行：</w:t>
            </w:r>
            <w:r>
              <w:rPr>
                <w:rFonts w:hint="eastAsia" w:ascii="宋体" w:hAnsi="宋体"/>
                <w:sz w:val="22"/>
                <w:szCs w:val="22"/>
                <w:u w:val="single"/>
              </w:rPr>
              <w:t>中国民生银行东莞分行营业部</w:t>
            </w:r>
            <w:r>
              <w:rPr>
                <w:rFonts w:ascii="宋体" w:hAnsi="宋体"/>
                <w:sz w:val="22"/>
                <w:szCs w:val="22"/>
              </w:rPr>
              <w:t xml:space="preserve"> </w:t>
            </w:r>
          </w:p>
          <w:p>
            <w:pPr>
              <w:spacing w:line="360" w:lineRule="auto"/>
              <w:rPr>
                <w:rFonts w:ascii="宋体" w:hAnsi="宋体"/>
                <w:sz w:val="22"/>
                <w:szCs w:val="22"/>
                <w:u w:val="single"/>
              </w:rPr>
            </w:pPr>
            <w:r>
              <w:rPr>
                <w:rFonts w:ascii="宋体" w:hAnsi="宋体"/>
                <w:sz w:val="22"/>
                <w:szCs w:val="22"/>
              </w:rPr>
              <w:t>账号：</w:t>
            </w:r>
            <w:r>
              <w:rPr>
                <w:rFonts w:hint="eastAsia" w:ascii="宋体" w:hAnsi="宋体"/>
                <w:sz w:val="22"/>
                <w:szCs w:val="22"/>
                <w:u w:val="single"/>
              </w:rPr>
              <w:t>0330014210000048</w:t>
            </w:r>
          </w:p>
          <w:p>
            <w:pPr>
              <w:spacing w:line="360" w:lineRule="auto"/>
              <w:rPr>
                <w:rFonts w:ascii="宋体" w:hAnsi="宋体"/>
                <w:sz w:val="22"/>
                <w:szCs w:val="22"/>
              </w:rPr>
            </w:pPr>
            <w:r>
              <w:rPr>
                <w:rFonts w:hint="eastAsia" w:ascii="宋体" w:hAnsi="宋体"/>
                <w:sz w:val="22"/>
                <w:szCs w:val="22"/>
              </w:rPr>
              <w:t>保证金退还时采用“网上一键原路退还”的方式处理，其余的法律责任由投标人自行承担。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b/>
                <w:sz w:val="22"/>
                <w:szCs w:val="22"/>
              </w:rPr>
              <w:t>★</w:t>
            </w:r>
            <w:r>
              <w:rPr>
                <w:rFonts w:ascii="宋体" w:hAnsi="宋体"/>
                <w:sz w:val="22"/>
                <w:szCs w:val="22"/>
              </w:rPr>
              <w:t>17.1</w:t>
            </w:r>
          </w:p>
        </w:tc>
        <w:tc>
          <w:tcPr>
            <w:tcW w:w="1559" w:type="dxa"/>
            <w:noWrap w:val="0"/>
            <w:vAlign w:val="center"/>
          </w:tcPr>
          <w:p>
            <w:pPr>
              <w:rPr>
                <w:rFonts w:ascii="宋体" w:hAnsi="宋体"/>
                <w:sz w:val="22"/>
                <w:szCs w:val="22"/>
              </w:rPr>
            </w:pPr>
            <w:r>
              <w:rPr>
                <w:rFonts w:ascii="宋体" w:hAnsi="宋体"/>
                <w:sz w:val="22"/>
                <w:szCs w:val="22"/>
                <w:lang w:val="zh-CN"/>
              </w:rPr>
              <w:t>投标有效期</w:t>
            </w:r>
          </w:p>
        </w:tc>
        <w:tc>
          <w:tcPr>
            <w:tcW w:w="6749" w:type="dxa"/>
            <w:noWrap w:val="0"/>
            <w:vAlign w:val="center"/>
          </w:tcPr>
          <w:p>
            <w:pPr>
              <w:spacing w:line="360" w:lineRule="auto"/>
              <w:rPr>
                <w:rFonts w:ascii="宋体" w:hAnsi="宋体"/>
                <w:bCs/>
                <w:color w:val="auto"/>
                <w:sz w:val="22"/>
                <w:szCs w:val="22"/>
                <w:highlight w:val="none"/>
              </w:rPr>
            </w:pPr>
            <w:r>
              <w:rPr>
                <w:rFonts w:ascii="宋体" w:hAnsi="宋体"/>
                <w:bCs/>
                <w:color w:val="auto"/>
                <w:sz w:val="22"/>
                <w:szCs w:val="22"/>
                <w:highlight w:val="none"/>
                <w:lang w:val="zh-CN"/>
              </w:rPr>
              <w:t>递交投标文件截止日后120日内有效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lang w:val="zh-CN"/>
              </w:rPr>
              <w:t>19</w:t>
            </w:r>
          </w:p>
        </w:tc>
        <w:tc>
          <w:tcPr>
            <w:tcW w:w="1559" w:type="dxa"/>
            <w:noWrap w:val="0"/>
            <w:vAlign w:val="center"/>
          </w:tcPr>
          <w:p>
            <w:pPr>
              <w:rPr>
                <w:rFonts w:ascii="宋体" w:hAnsi="宋体"/>
                <w:sz w:val="22"/>
                <w:szCs w:val="22"/>
              </w:rPr>
            </w:pPr>
            <w:r>
              <w:rPr>
                <w:rFonts w:ascii="宋体" w:hAnsi="宋体"/>
                <w:sz w:val="22"/>
                <w:szCs w:val="22"/>
              </w:rPr>
              <w:t>投标截止时间</w:t>
            </w:r>
          </w:p>
        </w:tc>
        <w:tc>
          <w:tcPr>
            <w:tcW w:w="6749" w:type="dxa"/>
            <w:noWrap w:val="0"/>
            <w:vAlign w:val="center"/>
          </w:tcPr>
          <w:p>
            <w:pPr>
              <w:spacing w:line="360" w:lineRule="auto"/>
              <w:rPr>
                <w:rFonts w:ascii="宋体" w:hAnsi="宋体"/>
                <w:color w:val="auto"/>
                <w:sz w:val="22"/>
                <w:szCs w:val="22"/>
              </w:rPr>
            </w:pPr>
            <w:r>
              <w:rPr>
                <w:rFonts w:ascii="宋体" w:hAnsi="宋体"/>
                <w:color w:val="auto"/>
                <w:sz w:val="22"/>
                <w:szCs w:val="22"/>
              </w:rPr>
              <w:t>本项目投标截止时间为</w:t>
            </w:r>
            <w:r>
              <w:rPr>
                <w:rFonts w:hint="eastAsia" w:ascii="宋体" w:hAnsi="宋体"/>
                <w:color w:val="auto"/>
                <w:sz w:val="22"/>
                <w:szCs w:val="22"/>
                <w:lang w:val="en-US" w:eastAsia="zh-CN"/>
              </w:rPr>
              <w:t>2021</w:t>
            </w:r>
            <w:r>
              <w:rPr>
                <w:rFonts w:ascii="宋体" w:hAnsi="宋体"/>
                <w:color w:val="auto"/>
                <w:sz w:val="22"/>
                <w:szCs w:val="22"/>
              </w:rPr>
              <w:t>年</w:t>
            </w:r>
            <w:r>
              <w:rPr>
                <w:rFonts w:hint="eastAsia" w:ascii="宋体" w:hAnsi="宋体"/>
                <w:color w:val="auto"/>
                <w:sz w:val="22"/>
                <w:szCs w:val="22"/>
                <w:lang w:val="en-US" w:eastAsia="zh-CN"/>
              </w:rPr>
              <w:t>09</w:t>
            </w:r>
            <w:r>
              <w:rPr>
                <w:rFonts w:ascii="宋体" w:hAnsi="宋体"/>
                <w:color w:val="auto"/>
                <w:sz w:val="22"/>
                <w:szCs w:val="22"/>
              </w:rPr>
              <w:t>月</w:t>
            </w:r>
            <w:r>
              <w:rPr>
                <w:rFonts w:hint="eastAsia" w:ascii="宋体" w:hAnsi="宋体"/>
                <w:color w:val="auto"/>
                <w:sz w:val="22"/>
                <w:szCs w:val="22"/>
                <w:lang w:val="en-US" w:eastAsia="zh-CN"/>
              </w:rPr>
              <w:t>03</w:t>
            </w:r>
            <w:r>
              <w:rPr>
                <w:rFonts w:ascii="宋体" w:hAnsi="宋体"/>
                <w:color w:val="auto"/>
                <w:sz w:val="22"/>
                <w:szCs w:val="22"/>
              </w:rPr>
              <w:t>日</w:t>
            </w:r>
            <w:r>
              <w:rPr>
                <w:rFonts w:hint="eastAsia" w:ascii="宋体" w:hAnsi="宋体"/>
                <w:color w:val="auto"/>
                <w:sz w:val="22"/>
                <w:szCs w:val="22"/>
                <w:lang w:val="en-US" w:eastAsia="zh-CN"/>
              </w:rPr>
              <w:t>09</w:t>
            </w:r>
            <w:r>
              <w:rPr>
                <w:rFonts w:ascii="宋体" w:hAnsi="宋体"/>
                <w:color w:val="auto"/>
                <w:sz w:val="22"/>
                <w:szCs w:val="22"/>
              </w:rPr>
              <w:t>时</w:t>
            </w:r>
            <w:r>
              <w:rPr>
                <w:rFonts w:hint="eastAsia" w:ascii="宋体" w:hAnsi="宋体"/>
                <w:color w:val="auto"/>
                <w:sz w:val="22"/>
                <w:szCs w:val="22"/>
                <w:lang w:val="en-US" w:eastAsia="zh-CN"/>
              </w:rPr>
              <w:t>30</w:t>
            </w:r>
            <w:r>
              <w:rPr>
                <w:rFonts w:ascii="宋体" w:hAnsi="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23.1</w:t>
            </w:r>
          </w:p>
        </w:tc>
        <w:tc>
          <w:tcPr>
            <w:tcW w:w="1559" w:type="dxa"/>
            <w:noWrap w:val="0"/>
            <w:vAlign w:val="center"/>
          </w:tcPr>
          <w:p>
            <w:pPr>
              <w:rPr>
                <w:rFonts w:ascii="宋体" w:hAnsi="宋体"/>
                <w:bCs/>
                <w:sz w:val="22"/>
                <w:szCs w:val="22"/>
              </w:rPr>
            </w:pPr>
            <w:r>
              <w:rPr>
                <w:rFonts w:ascii="宋体" w:hAnsi="宋体"/>
                <w:bCs/>
                <w:sz w:val="22"/>
                <w:szCs w:val="22"/>
              </w:rPr>
              <w:t>评标委员会</w:t>
            </w:r>
          </w:p>
        </w:tc>
        <w:tc>
          <w:tcPr>
            <w:tcW w:w="6749" w:type="dxa"/>
            <w:noWrap w:val="0"/>
            <w:vAlign w:val="center"/>
          </w:tcPr>
          <w:p>
            <w:pPr>
              <w:spacing w:line="360" w:lineRule="auto"/>
              <w:rPr>
                <w:rFonts w:ascii="宋体" w:hAnsi="宋体"/>
                <w:sz w:val="22"/>
                <w:szCs w:val="22"/>
              </w:rPr>
            </w:pPr>
            <w:r>
              <w:rPr>
                <w:rFonts w:ascii="宋体" w:hAnsi="宋体"/>
                <w:sz w:val="22"/>
                <w:szCs w:val="22"/>
              </w:rPr>
              <w:t>评标委员会成员共</w:t>
            </w:r>
            <w:r>
              <w:rPr>
                <w:rFonts w:hint="eastAsia" w:ascii="宋体" w:hAnsi="宋体" w:cs="宋体"/>
                <w:bCs/>
                <w:sz w:val="22"/>
                <w:szCs w:val="22"/>
                <w:u w:val="single"/>
                <w:lang w:val="en-US" w:eastAsia="zh-CN"/>
              </w:rPr>
              <w:t>5</w:t>
            </w:r>
            <w:r>
              <w:rPr>
                <w:rFonts w:ascii="宋体" w:hAnsi="宋体"/>
                <w:sz w:val="22"/>
                <w:szCs w:val="22"/>
              </w:rPr>
              <w:t>人：</w:t>
            </w:r>
            <w:r>
              <w:rPr>
                <w:rFonts w:ascii="宋体" w:hAnsi="宋体"/>
                <w:sz w:val="22"/>
                <w:szCs w:val="22"/>
                <w:lang w:val="zh-CN"/>
              </w:rPr>
              <w:t>其中</w:t>
            </w:r>
            <w:r>
              <w:rPr>
                <w:rFonts w:hint="eastAsia" w:ascii="宋体" w:hAnsi="宋体"/>
                <w:sz w:val="22"/>
                <w:szCs w:val="22"/>
                <w:lang w:val="zh-CN"/>
              </w:rPr>
              <w:t>招标</w:t>
            </w:r>
            <w:r>
              <w:rPr>
                <w:rFonts w:ascii="宋体" w:hAnsi="宋体"/>
                <w:sz w:val="22"/>
                <w:szCs w:val="22"/>
                <w:lang w:val="zh-CN"/>
              </w:rPr>
              <w:t>人代表</w:t>
            </w:r>
            <w:r>
              <w:rPr>
                <w:rFonts w:hint="eastAsia" w:ascii="宋体" w:hAnsi="宋体" w:cs="宋体"/>
                <w:bCs/>
                <w:sz w:val="22"/>
                <w:szCs w:val="22"/>
                <w:u w:val="single"/>
                <w:lang w:val="en-US" w:eastAsia="zh-CN"/>
              </w:rPr>
              <w:t>1</w:t>
            </w:r>
            <w:r>
              <w:rPr>
                <w:rFonts w:ascii="宋体" w:hAnsi="宋体"/>
                <w:sz w:val="22"/>
                <w:szCs w:val="22"/>
                <w:lang w:val="zh-CN"/>
              </w:rPr>
              <w:t>名；技术、经济等方面的专家</w:t>
            </w:r>
            <w:r>
              <w:rPr>
                <w:rFonts w:hint="eastAsia" w:ascii="宋体" w:hAnsi="宋体" w:cs="宋体"/>
                <w:bCs/>
                <w:sz w:val="22"/>
                <w:szCs w:val="22"/>
                <w:u w:val="single"/>
                <w:lang w:val="en-US" w:eastAsia="zh-CN"/>
              </w:rPr>
              <w:t>4</w:t>
            </w:r>
            <w:r>
              <w:rPr>
                <w:rFonts w:ascii="宋体" w:hAnsi="宋体"/>
                <w:sz w:val="22"/>
                <w:szCs w:val="22"/>
              </w:rPr>
              <w:t>人</w:t>
            </w:r>
            <w:r>
              <w:rPr>
                <w:rFonts w:ascii="宋体" w:hAnsi="宋体"/>
                <w:sz w:val="22"/>
                <w:szCs w:val="22"/>
                <w:lang w:val="zh-CN"/>
              </w:rPr>
              <w:t>由</w:t>
            </w:r>
            <w:r>
              <w:rPr>
                <w:rFonts w:hint="eastAsia" w:ascii="宋体" w:hAnsi="宋体"/>
                <w:sz w:val="22"/>
                <w:szCs w:val="22"/>
                <w:u w:val="none"/>
              </w:rPr>
              <w:t>专家库</w:t>
            </w:r>
            <w:r>
              <w:rPr>
                <w:rFonts w:ascii="宋体" w:hAnsi="宋体"/>
                <w:sz w:val="22"/>
                <w:szCs w:val="22"/>
              </w:rPr>
              <w:t>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28</w:t>
            </w:r>
          </w:p>
        </w:tc>
        <w:tc>
          <w:tcPr>
            <w:tcW w:w="1559" w:type="dxa"/>
            <w:noWrap w:val="0"/>
            <w:vAlign w:val="center"/>
          </w:tcPr>
          <w:p>
            <w:pPr>
              <w:rPr>
                <w:rFonts w:ascii="宋体" w:hAnsi="宋体"/>
                <w:bCs/>
                <w:sz w:val="22"/>
                <w:szCs w:val="22"/>
              </w:rPr>
            </w:pPr>
            <w:r>
              <w:rPr>
                <w:rFonts w:ascii="宋体" w:hAnsi="宋体"/>
                <w:bCs/>
                <w:sz w:val="22"/>
                <w:szCs w:val="22"/>
              </w:rPr>
              <w:t>评标方法</w:t>
            </w:r>
          </w:p>
        </w:tc>
        <w:tc>
          <w:tcPr>
            <w:tcW w:w="6749" w:type="dxa"/>
            <w:noWrap w:val="0"/>
            <w:vAlign w:val="center"/>
          </w:tcPr>
          <w:p>
            <w:pPr>
              <w:spacing w:line="360" w:lineRule="auto"/>
              <w:rPr>
                <w:rFonts w:ascii="宋体" w:hAnsi="宋体"/>
                <w:sz w:val="22"/>
                <w:szCs w:val="22"/>
              </w:rPr>
            </w:pPr>
            <w:r>
              <w:rPr>
                <w:rFonts w:ascii="宋体" w:hAnsi="宋体"/>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9.4</w:t>
            </w:r>
          </w:p>
        </w:tc>
        <w:tc>
          <w:tcPr>
            <w:tcW w:w="1559" w:type="dxa"/>
            <w:noWrap w:val="0"/>
            <w:vAlign w:val="center"/>
          </w:tcPr>
          <w:p>
            <w:pPr>
              <w:rPr>
                <w:rFonts w:ascii="宋体" w:hAnsi="宋体"/>
                <w:bCs/>
                <w:sz w:val="22"/>
                <w:szCs w:val="22"/>
              </w:rPr>
            </w:pPr>
            <w:r>
              <w:rPr>
                <w:rFonts w:hint="eastAsia" w:ascii="宋体" w:hAnsi="宋体"/>
                <w:bCs/>
                <w:sz w:val="22"/>
                <w:szCs w:val="22"/>
              </w:rPr>
              <w:t>招标</w:t>
            </w:r>
            <w:r>
              <w:rPr>
                <w:rFonts w:ascii="宋体" w:hAnsi="宋体"/>
                <w:bCs/>
                <w:sz w:val="22"/>
                <w:szCs w:val="22"/>
              </w:rPr>
              <w:t>信息公告媒体</w:t>
            </w:r>
          </w:p>
        </w:tc>
        <w:tc>
          <w:tcPr>
            <w:tcW w:w="6749" w:type="dxa"/>
            <w:noWrap w:val="0"/>
            <w:vAlign w:val="center"/>
          </w:tcPr>
          <w:p>
            <w:pPr>
              <w:wordWrap w:val="0"/>
              <w:spacing w:line="360" w:lineRule="auto"/>
              <w:rPr>
                <w:rFonts w:ascii="宋体" w:hAnsi="宋体"/>
                <w:sz w:val="22"/>
                <w:szCs w:val="22"/>
              </w:rPr>
            </w:pPr>
            <w:r>
              <w:rPr>
                <w:rFonts w:ascii="宋体" w:hAnsi="宋体"/>
                <w:bCs/>
                <w:sz w:val="22"/>
                <w:szCs w:val="22"/>
              </w:rPr>
              <w:t>所有有关本次</w:t>
            </w:r>
            <w:r>
              <w:rPr>
                <w:rFonts w:hint="eastAsia" w:ascii="宋体" w:hAnsi="宋体"/>
                <w:bCs/>
                <w:sz w:val="22"/>
                <w:szCs w:val="22"/>
              </w:rPr>
              <w:t>招标</w:t>
            </w:r>
            <w:r>
              <w:rPr>
                <w:rFonts w:ascii="宋体" w:hAnsi="宋体"/>
                <w:bCs/>
                <w:sz w:val="22"/>
                <w:szCs w:val="22"/>
              </w:rPr>
              <w:t>的招标公告会在</w:t>
            </w:r>
            <w:r>
              <w:rPr>
                <w:rFonts w:ascii="Times New Roman" w:hAnsi="Times New Roman"/>
                <w:bCs/>
                <w:color w:val="auto"/>
                <w:sz w:val="22"/>
                <w:szCs w:val="22"/>
              </w:rPr>
              <w:t>中国采购与招标网</w:t>
            </w:r>
            <w:r>
              <w:rPr>
                <w:rFonts w:hint="eastAsia" w:ascii="宋体" w:hAnsi="宋体" w:cs="宋体"/>
                <w:color w:val="auto"/>
                <w:sz w:val="22"/>
                <w:szCs w:val="22"/>
              </w:rPr>
              <w:t>、</w:t>
            </w:r>
            <w:r>
              <w:rPr>
                <w:rFonts w:hint="eastAsia" w:ascii="宋体" w:hAnsi="宋体" w:cs="宋体"/>
                <w:bCs/>
                <w:color w:val="auto"/>
                <w:sz w:val="22"/>
                <w:szCs w:val="22"/>
              </w:rPr>
              <w:t>东莞市轨道交通有限公司网站、深圳市国信招标有限公司网站</w:t>
            </w:r>
            <w:r>
              <w:rPr>
                <w:rFonts w:ascii="宋体" w:hAnsi="宋体"/>
                <w:bCs/>
                <w:sz w:val="22"/>
                <w:szCs w:val="22"/>
              </w:rPr>
              <w:t>媒体上公布，并视为有效送达，不再另行通知。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29.1</w:t>
            </w:r>
          </w:p>
        </w:tc>
        <w:tc>
          <w:tcPr>
            <w:tcW w:w="1559" w:type="dxa"/>
            <w:noWrap w:val="0"/>
            <w:vAlign w:val="center"/>
          </w:tcPr>
          <w:p>
            <w:pPr>
              <w:rPr>
                <w:rFonts w:ascii="宋体" w:hAnsi="宋体"/>
                <w:bCs/>
                <w:sz w:val="22"/>
                <w:szCs w:val="22"/>
              </w:rPr>
            </w:pPr>
            <w:r>
              <w:rPr>
                <w:rFonts w:hint="eastAsia" w:ascii="宋体" w:hAnsi="宋体"/>
                <w:bCs/>
                <w:sz w:val="22"/>
                <w:szCs w:val="22"/>
              </w:rPr>
              <w:t>招标</w:t>
            </w:r>
            <w:r>
              <w:rPr>
                <w:rFonts w:ascii="宋体" w:hAnsi="宋体"/>
                <w:bCs/>
                <w:sz w:val="22"/>
                <w:szCs w:val="22"/>
              </w:rPr>
              <w:t>结果公示媒体</w:t>
            </w:r>
          </w:p>
        </w:tc>
        <w:tc>
          <w:tcPr>
            <w:tcW w:w="6749" w:type="dxa"/>
            <w:noWrap w:val="0"/>
            <w:vAlign w:val="center"/>
          </w:tcPr>
          <w:p>
            <w:pPr>
              <w:wordWrap w:val="0"/>
              <w:spacing w:line="360" w:lineRule="auto"/>
              <w:rPr>
                <w:rFonts w:ascii="宋体" w:hAnsi="宋体"/>
                <w:bCs/>
                <w:sz w:val="22"/>
                <w:szCs w:val="22"/>
              </w:rPr>
            </w:pPr>
            <w:r>
              <w:rPr>
                <w:rFonts w:ascii="宋体" w:hAnsi="宋体"/>
                <w:bCs/>
                <w:sz w:val="22"/>
                <w:szCs w:val="22"/>
              </w:rPr>
              <w:t>所有本次</w:t>
            </w:r>
            <w:r>
              <w:rPr>
                <w:rFonts w:hint="eastAsia" w:ascii="宋体" w:hAnsi="宋体"/>
                <w:bCs/>
                <w:sz w:val="22"/>
                <w:szCs w:val="22"/>
              </w:rPr>
              <w:t>招标</w:t>
            </w:r>
            <w:r>
              <w:rPr>
                <w:rFonts w:ascii="宋体" w:hAnsi="宋体"/>
                <w:bCs/>
                <w:sz w:val="22"/>
                <w:szCs w:val="22"/>
              </w:rPr>
              <w:t>的结果公示会在</w:t>
            </w:r>
            <w:r>
              <w:rPr>
                <w:rFonts w:hint="eastAsia" w:ascii="宋体" w:hAnsi="宋体"/>
                <w:bCs/>
                <w:sz w:val="22"/>
                <w:szCs w:val="22"/>
              </w:rPr>
              <w:t>中国采购与招标网、东莞市轨道交通有限公司网站、深圳市国信招标有限公司网站</w:t>
            </w:r>
            <w:r>
              <w:rPr>
                <w:rFonts w:ascii="宋体" w:hAnsi="宋体"/>
                <w:bCs/>
                <w:sz w:val="22"/>
                <w:szCs w:val="22"/>
              </w:rPr>
              <w:t>媒体上公布，并视为有效送达，不再另行通知。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84" w:type="dxa"/>
            <w:noWrap w:val="0"/>
            <w:vAlign w:val="center"/>
          </w:tcPr>
          <w:p>
            <w:pPr>
              <w:spacing w:line="360" w:lineRule="auto"/>
              <w:jc w:val="center"/>
              <w:rPr>
                <w:rFonts w:ascii="宋体" w:hAnsi="宋体"/>
                <w:sz w:val="22"/>
                <w:szCs w:val="22"/>
              </w:rPr>
            </w:pPr>
            <w:r>
              <w:rPr>
                <w:rFonts w:ascii="宋体" w:hAnsi="宋体"/>
                <w:sz w:val="22"/>
                <w:szCs w:val="22"/>
              </w:rPr>
              <w:t>35</w:t>
            </w:r>
          </w:p>
        </w:tc>
        <w:tc>
          <w:tcPr>
            <w:tcW w:w="1559" w:type="dxa"/>
            <w:noWrap w:val="0"/>
            <w:vAlign w:val="center"/>
          </w:tcPr>
          <w:p>
            <w:pPr>
              <w:rPr>
                <w:rFonts w:ascii="宋体" w:hAnsi="宋体"/>
                <w:sz w:val="22"/>
                <w:szCs w:val="22"/>
              </w:rPr>
            </w:pPr>
            <w:r>
              <w:rPr>
                <w:rFonts w:ascii="宋体" w:hAnsi="宋体"/>
                <w:sz w:val="22"/>
                <w:szCs w:val="22"/>
              </w:rPr>
              <w:t>履约</w:t>
            </w:r>
            <w:r>
              <w:rPr>
                <w:rFonts w:hint="eastAsia" w:ascii="宋体" w:hAnsi="宋体"/>
                <w:sz w:val="22"/>
                <w:szCs w:val="22"/>
              </w:rPr>
              <w:t>担保</w:t>
            </w:r>
          </w:p>
        </w:tc>
        <w:tc>
          <w:tcPr>
            <w:tcW w:w="6749" w:type="dxa"/>
            <w:noWrap w:val="0"/>
            <w:vAlign w:val="center"/>
          </w:tcPr>
          <w:p>
            <w:pPr>
              <w:spacing w:line="360" w:lineRule="auto"/>
              <w:rPr>
                <w:rFonts w:ascii="宋体" w:hAnsi="宋体"/>
                <w:b/>
                <w:sz w:val="22"/>
                <w:szCs w:val="22"/>
              </w:rPr>
            </w:pPr>
            <w:r>
              <w:rPr>
                <w:rFonts w:hint="eastAsia" w:ascii="宋体" w:hAnsi="宋体"/>
                <w:b/>
                <w:sz w:val="22"/>
                <w:szCs w:val="22"/>
              </w:rPr>
              <w:t>1、履约担保金额</w:t>
            </w:r>
            <w:r>
              <w:rPr>
                <w:rFonts w:ascii="宋体" w:hAnsi="宋体"/>
                <w:b/>
                <w:sz w:val="22"/>
                <w:szCs w:val="22"/>
              </w:rPr>
              <w:t>：</w:t>
            </w:r>
            <w:r>
              <w:rPr>
                <w:rFonts w:hint="eastAsia" w:ascii="宋体" w:hAnsi="宋体"/>
                <w:b/>
                <w:sz w:val="22"/>
                <w:szCs w:val="22"/>
              </w:rPr>
              <w:t>合同金额的</w:t>
            </w:r>
            <w:r>
              <w:rPr>
                <w:rFonts w:hint="eastAsia" w:ascii="宋体" w:hAnsi="宋体" w:cs="宋体"/>
                <w:bCs/>
                <w:sz w:val="22"/>
                <w:szCs w:val="22"/>
                <w:u w:val="single"/>
                <w:lang w:val="en-US" w:eastAsia="zh-CN"/>
              </w:rPr>
              <w:t>5</w:t>
            </w:r>
            <w:r>
              <w:rPr>
                <w:rFonts w:ascii="宋体" w:hAnsi="宋体"/>
                <w:b/>
                <w:sz w:val="22"/>
                <w:szCs w:val="22"/>
              </w:rPr>
              <w:t>%</w:t>
            </w:r>
            <w:r>
              <w:rPr>
                <w:rFonts w:hint="eastAsia" w:ascii="宋体" w:hAnsi="宋体"/>
                <w:b/>
                <w:sz w:val="22"/>
                <w:szCs w:val="22"/>
              </w:rPr>
              <w:t>。</w:t>
            </w:r>
          </w:p>
          <w:p>
            <w:pPr>
              <w:spacing w:line="360" w:lineRule="auto"/>
              <w:rPr>
                <w:rFonts w:ascii="宋体" w:hAnsi="宋体"/>
                <w:sz w:val="22"/>
                <w:szCs w:val="22"/>
              </w:rPr>
            </w:pPr>
            <w:r>
              <w:rPr>
                <w:rFonts w:hint="eastAsia" w:ascii="宋体" w:hAnsi="宋体"/>
                <w:sz w:val="22"/>
                <w:szCs w:val="22"/>
              </w:rPr>
              <w:t>2、履约担保可以采用下列任何一种形式：</w:t>
            </w:r>
          </w:p>
          <w:p>
            <w:pPr>
              <w:spacing w:line="360" w:lineRule="auto"/>
              <w:rPr>
                <w:rFonts w:ascii="宋体" w:hAnsi="宋体"/>
                <w:sz w:val="22"/>
                <w:szCs w:val="22"/>
              </w:rPr>
            </w:pPr>
            <w:r>
              <w:rPr>
                <w:rFonts w:hint="eastAsia" w:ascii="宋体" w:hAnsi="宋体"/>
                <w:sz w:val="22"/>
                <w:szCs w:val="22"/>
              </w:rPr>
              <w:t>2.1履约保函，包括银行保函；</w:t>
            </w:r>
          </w:p>
          <w:p>
            <w:pPr>
              <w:spacing w:line="360" w:lineRule="auto"/>
              <w:rPr>
                <w:rFonts w:ascii="宋体" w:hAnsi="宋体"/>
                <w:sz w:val="22"/>
                <w:szCs w:val="22"/>
              </w:rPr>
            </w:pPr>
            <w:r>
              <w:rPr>
                <w:rFonts w:hint="eastAsia" w:ascii="宋体" w:hAnsi="宋体"/>
                <w:sz w:val="22"/>
                <w:szCs w:val="22"/>
              </w:rPr>
              <w:t>2.2保证金。</w:t>
            </w:r>
          </w:p>
          <w:p>
            <w:pPr>
              <w:spacing w:line="360" w:lineRule="auto"/>
              <w:rPr>
                <w:rFonts w:ascii="宋体" w:hAnsi="宋体"/>
                <w:sz w:val="22"/>
                <w:szCs w:val="22"/>
              </w:rPr>
            </w:pPr>
            <w:r>
              <w:rPr>
                <w:rFonts w:hint="eastAsia" w:ascii="宋体" w:hAnsi="宋体"/>
                <w:sz w:val="22"/>
                <w:szCs w:val="22"/>
              </w:rPr>
              <w:t>采用电汇、银行转帐方式提交的，汇入以下履约保证金专用账户</w:t>
            </w:r>
            <w:r>
              <w:rPr>
                <w:rFonts w:ascii="宋体" w:hAnsi="宋体"/>
                <w:sz w:val="22"/>
                <w:szCs w:val="22"/>
              </w:rPr>
              <w:t>：</w:t>
            </w:r>
          </w:p>
          <w:p>
            <w:pPr>
              <w:spacing w:line="360" w:lineRule="auto"/>
              <w:rPr>
                <w:rFonts w:ascii="宋体" w:hAnsi="宋体"/>
                <w:b/>
                <w:sz w:val="22"/>
                <w:szCs w:val="22"/>
                <w:u w:val="single"/>
              </w:rPr>
            </w:pPr>
            <w:r>
              <w:rPr>
                <w:rFonts w:ascii="宋体" w:hAnsi="宋体"/>
                <w:b/>
                <w:sz w:val="22"/>
                <w:szCs w:val="22"/>
              </w:rPr>
              <w:t>履约保证金账户：</w:t>
            </w:r>
          </w:p>
          <w:p>
            <w:pPr>
              <w:spacing w:line="360" w:lineRule="auto"/>
              <w:rPr>
                <w:rFonts w:ascii="宋体" w:hAnsi="宋体" w:cs="宋体"/>
                <w:bCs/>
                <w:sz w:val="22"/>
                <w:szCs w:val="22"/>
                <w:u w:val="single"/>
              </w:rPr>
            </w:pPr>
            <w:r>
              <w:rPr>
                <w:rFonts w:ascii="宋体" w:hAnsi="宋体"/>
                <w:sz w:val="22"/>
                <w:szCs w:val="22"/>
              </w:rPr>
              <w:t>开户名称：</w:t>
            </w:r>
            <w:r>
              <w:rPr>
                <w:rFonts w:hint="eastAsia" w:ascii="宋体" w:hAnsi="宋体" w:cs="宋体"/>
                <w:bCs/>
                <w:sz w:val="22"/>
                <w:szCs w:val="22"/>
                <w:u w:val="single"/>
              </w:rPr>
              <w:t>东莞市轨道交通有限公司</w:t>
            </w:r>
          </w:p>
          <w:p>
            <w:pPr>
              <w:spacing w:line="360" w:lineRule="auto"/>
              <w:rPr>
                <w:rFonts w:ascii="宋体" w:hAnsi="宋体"/>
                <w:sz w:val="22"/>
                <w:szCs w:val="22"/>
                <w:u w:val="single"/>
              </w:rPr>
            </w:pPr>
            <w:r>
              <w:rPr>
                <w:rFonts w:hint="eastAsia" w:ascii="宋体" w:hAnsi="宋体"/>
                <w:sz w:val="22"/>
                <w:szCs w:val="22"/>
              </w:rPr>
              <w:t>开户银行：</w:t>
            </w:r>
            <w:r>
              <w:rPr>
                <w:rFonts w:hint="eastAsia" w:ascii="宋体" w:hAnsi="宋体" w:cs="宋体"/>
                <w:bCs/>
                <w:sz w:val="22"/>
                <w:szCs w:val="22"/>
                <w:u w:val="single"/>
              </w:rPr>
              <w:t>工商银行东莞市新城支行</w:t>
            </w:r>
          </w:p>
          <w:p>
            <w:pPr>
              <w:spacing w:line="360" w:lineRule="auto"/>
              <w:rPr>
                <w:rFonts w:ascii="宋体" w:hAnsi="宋体"/>
                <w:sz w:val="22"/>
                <w:szCs w:val="22"/>
                <w:u w:val="single"/>
              </w:rPr>
            </w:pPr>
            <w:r>
              <w:rPr>
                <w:rFonts w:hint="eastAsia" w:ascii="宋体" w:hAnsi="宋体"/>
                <w:sz w:val="22"/>
                <w:szCs w:val="22"/>
              </w:rPr>
              <w:t>账    号：</w:t>
            </w:r>
            <w:r>
              <w:rPr>
                <w:rFonts w:hint="eastAsia" w:ascii="宋体" w:hAnsi="宋体" w:cs="宋体"/>
                <w:bCs/>
                <w:sz w:val="22"/>
                <w:szCs w:val="22"/>
                <w:u w:val="single"/>
              </w:rPr>
              <w:t>2010021109200180266</w:t>
            </w:r>
          </w:p>
        </w:tc>
      </w:tr>
    </w:tbl>
    <w:p>
      <w:r>
        <w:br w:type="page"/>
      </w:r>
    </w:p>
    <w:p>
      <w:pPr>
        <w:pStyle w:val="4"/>
        <w:spacing w:line="360" w:lineRule="auto"/>
        <w:ind w:left="0" w:firstLine="0"/>
        <w:jc w:val="center"/>
        <w:rPr>
          <w:rFonts w:ascii="Times New Roman" w:hAnsi="Times New Roman" w:eastAsia="宋体"/>
          <w:bCs/>
          <w:kern w:val="44"/>
          <w:lang w:val="zh-CN"/>
        </w:rPr>
      </w:pPr>
      <w:bookmarkStart w:id="15" w:name="_Toc61529808"/>
      <w:bookmarkStart w:id="16" w:name="_Toc441844051"/>
      <w:r>
        <w:rPr>
          <w:rFonts w:ascii="Times New Roman" w:hAnsi="Times New Roman" w:eastAsia="宋体"/>
          <w:bCs/>
          <w:kern w:val="44"/>
          <w:lang w:val="zh-CN"/>
        </w:rPr>
        <w:t>二、投标人须知</w:t>
      </w:r>
      <w:bookmarkEnd w:id="15"/>
      <w:bookmarkEnd w:id="16"/>
    </w:p>
    <w:p>
      <w:pPr>
        <w:pStyle w:val="4"/>
        <w:tabs>
          <w:tab w:val="left" w:pos="142"/>
          <w:tab w:val="clear" w:pos="1440"/>
        </w:tabs>
        <w:ind w:left="0" w:firstLine="0"/>
        <w:rPr>
          <w:rFonts w:ascii="Times New Roman" w:hAnsi="Times New Roman" w:eastAsia="宋体"/>
          <w:sz w:val="28"/>
          <w:szCs w:val="28"/>
          <w:lang w:val="zh-CN"/>
        </w:rPr>
      </w:pPr>
      <w:bookmarkStart w:id="17" w:name="_Toc61529809"/>
      <w:bookmarkStart w:id="18" w:name="_Toc441844052"/>
      <w:r>
        <w:rPr>
          <w:rFonts w:ascii="Times New Roman" w:hAnsi="Times New Roman" w:eastAsia="宋体"/>
          <w:sz w:val="28"/>
          <w:szCs w:val="28"/>
          <w:lang w:val="zh-CN"/>
        </w:rPr>
        <w:t>（一）总则</w:t>
      </w:r>
      <w:bookmarkEnd w:id="17"/>
      <w:bookmarkEnd w:id="18"/>
    </w:p>
    <w:p>
      <w:pPr>
        <w:pStyle w:val="294"/>
        <w:numPr>
          <w:ilvl w:val="0"/>
          <w:numId w:val="4"/>
        </w:numPr>
        <w:spacing w:line="360" w:lineRule="auto"/>
        <w:ind w:left="0" w:firstLine="0" w:firstLineChars="0"/>
        <w:outlineLvl w:val="2"/>
        <w:rPr>
          <w:rFonts w:ascii="宋体" w:hAnsi="宋体"/>
          <w:b/>
          <w:bCs/>
          <w:sz w:val="22"/>
          <w:szCs w:val="22"/>
        </w:rPr>
      </w:pPr>
      <w:bookmarkStart w:id="19" w:name="_Toc382907620"/>
      <w:bookmarkStart w:id="20" w:name="_Toc441844053"/>
      <w:bookmarkStart w:id="21" w:name="_Toc439256278"/>
      <w:bookmarkStart w:id="22" w:name="_Toc314064451"/>
      <w:bookmarkStart w:id="23" w:name="_Toc61529810"/>
      <w:r>
        <w:rPr>
          <w:rFonts w:ascii="宋体" w:hAnsi="宋体"/>
          <w:b/>
          <w:bCs/>
          <w:sz w:val="22"/>
          <w:szCs w:val="22"/>
        </w:rPr>
        <w:t>招标范围及资金来源</w:t>
      </w:r>
      <w:bookmarkEnd w:id="19"/>
      <w:bookmarkEnd w:id="20"/>
      <w:bookmarkEnd w:id="21"/>
      <w:bookmarkEnd w:id="22"/>
      <w:bookmarkEnd w:id="23"/>
    </w:p>
    <w:p>
      <w:pPr>
        <w:pStyle w:val="116"/>
        <w:numPr>
          <w:ilvl w:val="0"/>
          <w:numId w:val="5"/>
        </w:numPr>
        <w:spacing w:line="360" w:lineRule="auto"/>
        <w:ind w:left="426" w:hanging="426" w:firstLineChars="0"/>
        <w:rPr>
          <w:rFonts w:ascii="宋体" w:hAnsi="宋体"/>
          <w:bCs/>
          <w:sz w:val="22"/>
          <w:szCs w:val="22"/>
        </w:rPr>
      </w:pPr>
      <w:r>
        <w:rPr>
          <w:rFonts w:hint="eastAsia" w:ascii="宋体" w:hAnsi="宋体"/>
          <w:bCs/>
          <w:sz w:val="22"/>
          <w:szCs w:val="22"/>
        </w:rPr>
        <w:t>招标范围：详细要求见本招标文件中《用户需求书》。本次招标，投标人必须对全部内容进行报价，不得缺漏。</w:t>
      </w:r>
    </w:p>
    <w:p>
      <w:pPr>
        <w:pStyle w:val="116"/>
        <w:numPr>
          <w:ilvl w:val="0"/>
          <w:numId w:val="5"/>
        </w:numPr>
        <w:spacing w:line="360" w:lineRule="auto"/>
        <w:ind w:left="426" w:hanging="426" w:firstLineChars="0"/>
        <w:rPr>
          <w:rFonts w:ascii="宋体" w:hAnsi="宋体"/>
          <w:bCs/>
          <w:sz w:val="22"/>
          <w:szCs w:val="22"/>
        </w:rPr>
      </w:pPr>
      <w:r>
        <w:rPr>
          <w:rFonts w:ascii="宋体" w:hAnsi="宋体"/>
          <w:bCs/>
          <w:sz w:val="22"/>
          <w:szCs w:val="22"/>
        </w:rPr>
        <w:t>资金来源：</w:t>
      </w:r>
      <w:r>
        <w:rPr>
          <w:rFonts w:ascii="宋体" w:hAnsi="宋体"/>
          <w:b/>
          <w:bCs/>
          <w:sz w:val="22"/>
          <w:szCs w:val="22"/>
          <w:u w:val="single"/>
        </w:rPr>
        <w:t>详见投标人须知前附表</w:t>
      </w:r>
      <w:r>
        <w:rPr>
          <w:rFonts w:ascii="宋体" w:hAnsi="宋体"/>
          <w:bCs/>
          <w:sz w:val="22"/>
          <w:szCs w:val="22"/>
        </w:rPr>
        <w:t>。</w:t>
      </w:r>
    </w:p>
    <w:p>
      <w:pPr>
        <w:pStyle w:val="116"/>
        <w:numPr>
          <w:ilvl w:val="0"/>
          <w:numId w:val="5"/>
        </w:numPr>
        <w:spacing w:line="360" w:lineRule="auto"/>
        <w:ind w:left="426" w:hanging="426" w:firstLineChars="0"/>
        <w:rPr>
          <w:rFonts w:ascii="宋体" w:hAnsi="宋体"/>
          <w:bCs/>
          <w:sz w:val="22"/>
          <w:szCs w:val="22"/>
        </w:rPr>
      </w:pPr>
      <w:r>
        <w:rPr>
          <w:rFonts w:ascii="宋体" w:hAnsi="宋体"/>
          <w:bCs/>
          <w:sz w:val="22"/>
          <w:szCs w:val="22"/>
        </w:rPr>
        <w:t>项目预算金额：</w:t>
      </w:r>
      <w:r>
        <w:rPr>
          <w:rFonts w:ascii="宋体" w:hAnsi="宋体"/>
          <w:b/>
          <w:bCs/>
          <w:sz w:val="22"/>
          <w:szCs w:val="22"/>
          <w:u w:val="single"/>
        </w:rPr>
        <w:t>详见投标人须知前附表。</w:t>
      </w:r>
    </w:p>
    <w:p>
      <w:pPr>
        <w:pStyle w:val="294"/>
        <w:numPr>
          <w:ilvl w:val="0"/>
          <w:numId w:val="4"/>
        </w:numPr>
        <w:spacing w:line="360" w:lineRule="auto"/>
        <w:ind w:left="0" w:firstLine="0" w:firstLineChars="0"/>
        <w:outlineLvl w:val="2"/>
        <w:rPr>
          <w:rFonts w:ascii="宋体" w:hAnsi="宋体"/>
          <w:b/>
          <w:bCs/>
          <w:sz w:val="22"/>
          <w:szCs w:val="22"/>
        </w:rPr>
      </w:pPr>
      <w:bookmarkStart w:id="24" w:name="_Toc439256279"/>
      <w:bookmarkStart w:id="25" w:name="_Toc61529811"/>
      <w:bookmarkStart w:id="26" w:name="_Toc382907621"/>
      <w:bookmarkStart w:id="27" w:name="_Toc317604605"/>
      <w:bookmarkStart w:id="28" w:name="_Toc441844054"/>
      <w:r>
        <w:rPr>
          <w:rFonts w:ascii="宋体" w:hAnsi="宋体"/>
          <w:b/>
          <w:bCs/>
          <w:sz w:val="22"/>
          <w:szCs w:val="22"/>
        </w:rPr>
        <w:t>定义</w:t>
      </w:r>
      <w:bookmarkEnd w:id="24"/>
      <w:bookmarkEnd w:id="25"/>
      <w:bookmarkEnd w:id="26"/>
      <w:bookmarkEnd w:id="27"/>
      <w:bookmarkEnd w:id="28"/>
    </w:p>
    <w:p>
      <w:pPr>
        <w:pStyle w:val="116"/>
        <w:numPr>
          <w:ilvl w:val="0"/>
          <w:numId w:val="6"/>
        </w:numPr>
        <w:spacing w:line="360" w:lineRule="auto"/>
        <w:ind w:left="426" w:hanging="426" w:firstLineChars="0"/>
        <w:rPr>
          <w:rFonts w:ascii="宋体" w:hAnsi="宋体"/>
          <w:bCs/>
          <w:sz w:val="22"/>
          <w:szCs w:val="22"/>
        </w:rPr>
      </w:pPr>
      <w:r>
        <w:rPr>
          <w:rFonts w:hint="eastAsia" w:ascii="宋体" w:hAnsi="宋体"/>
          <w:bCs/>
          <w:sz w:val="22"/>
          <w:szCs w:val="22"/>
        </w:rPr>
        <w:t>招标人：</w:t>
      </w:r>
      <w:r>
        <w:rPr>
          <w:rFonts w:hint="eastAsia" w:ascii="宋体" w:hAnsi="宋体"/>
          <w:b/>
          <w:bCs/>
          <w:sz w:val="22"/>
          <w:szCs w:val="22"/>
          <w:u w:val="single"/>
        </w:rPr>
        <w:t>详见投标人须知前附表。</w:t>
      </w:r>
    </w:p>
    <w:p>
      <w:pPr>
        <w:pStyle w:val="116"/>
        <w:numPr>
          <w:ilvl w:val="0"/>
          <w:numId w:val="6"/>
        </w:numPr>
        <w:spacing w:line="360" w:lineRule="auto"/>
        <w:ind w:left="426" w:hanging="426" w:firstLineChars="0"/>
        <w:rPr>
          <w:rFonts w:ascii="宋体" w:hAnsi="宋体"/>
          <w:bCs/>
          <w:sz w:val="22"/>
          <w:szCs w:val="22"/>
        </w:rPr>
      </w:pPr>
      <w:r>
        <w:rPr>
          <w:rFonts w:hint="eastAsia" w:ascii="宋体" w:hAnsi="宋体"/>
          <w:bCs/>
          <w:sz w:val="22"/>
          <w:szCs w:val="22"/>
        </w:rPr>
        <w:t>招标</w:t>
      </w:r>
      <w:r>
        <w:rPr>
          <w:rFonts w:ascii="宋体" w:hAnsi="宋体"/>
          <w:bCs/>
          <w:sz w:val="22"/>
          <w:szCs w:val="22"/>
        </w:rPr>
        <w:t>代理机构：</w:t>
      </w:r>
      <w:r>
        <w:rPr>
          <w:rFonts w:ascii="宋体" w:hAnsi="宋体"/>
          <w:b/>
          <w:bCs/>
          <w:sz w:val="22"/>
          <w:szCs w:val="22"/>
          <w:u w:val="single"/>
        </w:rPr>
        <w:t>详见投标人须知前附表。</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评标委员会：评标委员会是依据有关规定组建的专门负责本次招标其评标工作的临时性机构。</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日期：指日历日。评审时，对投标中出现的“工作日”按五个工作日折合七个日历日计算，且评标委员会可能会就有关日期作出对该投标人不利的折算或量化。</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 xml:space="preserve"> 时间：指北京时间。</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合同：指由本次招标所产生的合同或合约文件。</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招标文件中所规定“书面形式”，是指任何手写的、打印的或印刷的方式，通讯方式包括专人递交或传真发送。</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服务：指投标人须向</w:t>
      </w:r>
      <w:r>
        <w:rPr>
          <w:rFonts w:hint="eastAsia" w:ascii="宋体" w:hAnsi="宋体"/>
          <w:bCs/>
          <w:sz w:val="22"/>
          <w:szCs w:val="22"/>
        </w:rPr>
        <w:t>招标</w:t>
      </w:r>
      <w:r>
        <w:rPr>
          <w:rFonts w:ascii="宋体" w:hAnsi="宋体"/>
          <w:bCs/>
          <w:sz w:val="22"/>
          <w:szCs w:val="22"/>
        </w:rPr>
        <w:t>人提供的符合招标文件要求的服务。</w:t>
      </w:r>
    </w:p>
    <w:p>
      <w:pPr>
        <w:pStyle w:val="116"/>
        <w:numPr>
          <w:ilvl w:val="0"/>
          <w:numId w:val="6"/>
        </w:numPr>
        <w:spacing w:line="360" w:lineRule="auto"/>
        <w:ind w:left="426" w:hanging="426" w:firstLineChars="0"/>
        <w:rPr>
          <w:rFonts w:ascii="宋体" w:hAnsi="宋体"/>
          <w:bCs/>
          <w:sz w:val="22"/>
          <w:szCs w:val="22"/>
        </w:rPr>
      </w:pPr>
      <w:r>
        <w:rPr>
          <w:rFonts w:ascii="宋体" w:hAnsi="宋体"/>
          <w:bCs/>
          <w:sz w:val="22"/>
          <w:szCs w:val="22"/>
        </w:rPr>
        <w:t>货物：指投标人须向</w:t>
      </w:r>
      <w:r>
        <w:rPr>
          <w:rFonts w:hint="eastAsia" w:ascii="宋体" w:hAnsi="宋体"/>
          <w:bCs/>
          <w:sz w:val="22"/>
          <w:szCs w:val="22"/>
        </w:rPr>
        <w:t>招标</w:t>
      </w:r>
      <w:r>
        <w:rPr>
          <w:rFonts w:ascii="宋体" w:hAnsi="宋体"/>
          <w:bCs/>
          <w:sz w:val="22"/>
          <w:szCs w:val="22"/>
        </w:rPr>
        <w:t>人提供的符合招标文件要求的货物等，其来源地均应为中华人民共和国或与中华人民共和国有官方贸易关系的国家或地区。招标文件中没有提及采购货物来源地的，根据相关规定均应是本国货物，优先采购自主创新、节能、环保产品。投标的货物必须是合法生产的符合国家有关标准要求的全新原厂生产的产品，并满足采购招标文件规定的规格、参数、质量、价格、有效期、售后服务等要求。所有国内制造的货物必须具备出厂合格证和相关检测报告；所有进口货物必须均为合法正当渠道进口的且具备原产地证明、中国商检证明及合法进货渠道全套单证。在验收货物时，中标投标人必须提供上述全部相关资料及证明文件。</w:t>
      </w:r>
    </w:p>
    <w:p>
      <w:pPr>
        <w:pStyle w:val="294"/>
        <w:numPr>
          <w:ilvl w:val="0"/>
          <w:numId w:val="4"/>
        </w:numPr>
        <w:spacing w:line="360" w:lineRule="auto"/>
        <w:ind w:left="0" w:firstLine="0" w:firstLineChars="0"/>
        <w:outlineLvl w:val="2"/>
        <w:rPr>
          <w:rFonts w:ascii="Times New Roman" w:hAnsi="Times New Roman" w:eastAsia="宋体"/>
          <w:b/>
          <w:bCs/>
          <w:color w:val="auto"/>
          <w:sz w:val="22"/>
          <w:szCs w:val="22"/>
          <w:highlight w:val="none"/>
        </w:rPr>
      </w:pPr>
      <w:bookmarkStart w:id="29" w:name="_Toc441844055"/>
      <w:bookmarkStart w:id="30" w:name="_Toc61529812"/>
      <w:r>
        <w:rPr>
          <w:rFonts w:ascii="Times New Roman" w:hAnsi="Times New Roman" w:eastAsia="宋体"/>
          <w:b/>
          <w:bCs/>
          <w:color w:val="auto"/>
          <w:sz w:val="22"/>
          <w:szCs w:val="22"/>
          <w:highlight w:val="none"/>
        </w:rPr>
        <w:t>合格的投标人</w:t>
      </w:r>
      <w:bookmarkEnd w:id="29"/>
      <w:bookmarkEnd w:id="30"/>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bCs/>
          <w:color w:val="auto"/>
          <w:sz w:val="22"/>
          <w:szCs w:val="22"/>
          <w:highlight w:val="none"/>
        </w:rPr>
        <w:t>合格的投标人条件见第一章《投标邀请》中第</w:t>
      </w:r>
      <w:r>
        <w:rPr>
          <w:rFonts w:ascii="宋体" w:hAnsi="宋体"/>
          <w:bCs/>
          <w:color w:val="auto"/>
          <w:sz w:val="22"/>
          <w:szCs w:val="22"/>
          <w:highlight w:val="none"/>
        </w:rPr>
        <w:t>5</w:t>
      </w:r>
      <w:r>
        <w:rPr>
          <w:rFonts w:hint="eastAsia" w:ascii="宋体" w:hAnsi="宋体"/>
          <w:bCs/>
          <w:color w:val="auto"/>
          <w:sz w:val="22"/>
          <w:szCs w:val="22"/>
          <w:highlight w:val="none"/>
        </w:rPr>
        <w:t>款的“</w:t>
      </w:r>
      <w:r>
        <w:rPr>
          <w:rFonts w:hint="eastAsia" w:ascii="宋体" w:hAnsi="宋体"/>
          <w:b/>
          <w:bCs/>
          <w:color w:val="auto"/>
          <w:sz w:val="22"/>
          <w:szCs w:val="22"/>
          <w:highlight w:val="none"/>
          <w:u w:val="single"/>
        </w:rPr>
        <w:t>投标人资格要求”及本条以下</w:t>
      </w:r>
      <w:r>
        <w:rPr>
          <w:rFonts w:ascii="宋体" w:hAnsi="宋体"/>
          <w:b/>
          <w:bCs/>
          <w:color w:val="auto"/>
          <w:sz w:val="22"/>
          <w:szCs w:val="22"/>
          <w:highlight w:val="none"/>
          <w:u w:val="single"/>
        </w:rPr>
        <w:t>3</w:t>
      </w:r>
      <w:r>
        <w:rPr>
          <w:rFonts w:hint="eastAsia" w:ascii="宋体" w:hAnsi="宋体"/>
          <w:b/>
          <w:bCs/>
          <w:color w:val="auto"/>
          <w:sz w:val="22"/>
          <w:szCs w:val="22"/>
          <w:highlight w:val="none"/>
          <w:u w:val="single"/>
        </w:rPr>
        <w:t>.2款至</w:t>
      </w:r>
      <w:r>
        <w:rPr>
          <w:rFonts w:ascii="宋体" w:hAnsi="宋体"/>
          <w:b/>
          <w:bCs/>
          <w:color w:val="auto"/>
          <w:sz w:val="22"/>
          <w:szCs w:val="22"/>
          <w:highlight w:val="none"/>
          <w:u w:val="single"/>
        </w:rPr>
        <w:t>3</w:t>
      </w:r>
      <w:r>
        <w:rPr>
          <w:rFonts w:hint="eastAsia" w:ascii="宋体" w:hAnsi="宋体"/>
          <w:b/>
          <w:bCs/>
          <w:color w:val="auto"/>
          <w:sz w:val="22"/>
          <w:szCs w:val="22"/>
          <w:highlight w:val="none"/>
          <w:u w:val="single"/>
        </w:rPr>
        <w:t>.</w:t>
      </w:r>
      <w:r>
        <w:rPr>
          <w:rFonts w:ascii="宋体" w:hAnsi="宋体"/>
          <w:b/>
          <w:bCs/>
          <w:color w:val="auto"/>
          <w:sz w:val="22"/>
          <w:szCs w:val="22"/>
          <w:highlight w:val="none"/>
          <w:u w:val="single"/>
        </w:rPr>
        <w:t>10</w:t>
      </w:r>
      <w:r>
        <w:rPr>
          <w:rFonts w:hint="eastAsia" w:ascii="宋体" w:hAnsi="宋体"/>
          <w:b/>
          <w:bCs/>
          <w:color w:val="auto"/>
          <w:sz w:val="22"/>
          <w:szCs w:val="22"/>
          <w:highlight w:val="none"/>
          <w:u w:val="single"/>
        </w:rPr>
        <w:t>款的通用要求</w:t>
      </w:r>
      <w:r>
        <w:rPr>
          <w:rFonts w:hint="eastAsia" w:ascii="宋体" w:hAnsi="宋体"/>
          <w:bCs/>
          <w:color w:val="auto"/>
          <w:sz w:val="22"/>
          <w:szCs w:val="22"/>
          <w:highlight w:val="none"/>
        </w:rPr>
        <w:t>。</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hAnsi="宋体"/>
          <w:color w:val="auto"/>
          <w:sz w:val="22"/>
          <w:szCs w:val="22"/>
          <w:highlight w:val="none"/>
          <w:lang w:val="zh-CN"/>
        </w:rPr>
        <w:t>投标人符合《中华人民共和国招标投标法》第二十六条的规定。</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hAnsi="宋体"/>
          <w:color w:val="auto"/>
          <w:sz w:val="22"/>
          <w:szCs w:val="22"/>
          <w:highlight w:val="none"/>
        </w:rPr>
        <w:t>投标人在参加本项目投标前的三年内，不得在投标活动中存在违反《中华人民共和国招标投标法》第五十三条、第五十四条、第六十条、《中华人民共和国招标投标法实施条例》第七十六条、第七十七条规定，而受到各级管理部门的处罚。投标人在投标文件中必须主动按招标文件的要求填报“最近3年企业牵涉的主要诉讼案件或处罚说明”，如果不主动填报而被事后发现的，将取消其投标（中标）资格，并按有关规定从重处理。</w:t>
      </w:r>
    </w:p>
    <w:p>
      <w:pPr>
        <w:pStyle w:val="116"/>
        <w:numPr>
          <w:ilvl w:val="0"/>
          <w:numId w:val="7"/>
        </w:numPr>
        <w:spacing w:line="360" w:lineRule="auto"/>
        <w:ind w:left="567" w:hanging="567" w:firstLineChars="0"/>
        <w:rPr>
          <w:rFonts w:hAnsi="宋体"/>
          <w:color w:val="auto"/>
          <w:sz w:val="22"/>
          <w:szCs w:val="22"/>
          <w:highlight w:val="none"/>
        </w:rPr>
      </w:pPr>
      <w:r>
        <w:rPr>
          <w:rFonts w:hint="eastAsia" w:hAnsi="宋体"/>
          <w:color w:val="auto"/>
          <w:sz w:val="22"/>
          <w:szCs w:val="22"/>
          <w:highlight w:val="none"/>
          <w:lang w:val="zh-CN"/>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bCs/>
          <w:color w:val="auto"/>
          <w:sz w:val="22"/>
          <w:szCs w:val="22"/>
          <w:highlight w:val="none"/>
        </w:rPr>
        <w:t>未被列入“国家企业信用信息公示系统”网站（http://www.gsxt.gov.cn）严重违法失信企业名单；未被列入“中国执行信息公开网”失信执行人。</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bCs/>
          <w:color w:val="auto"/>
          <w:sz w:val="22"/>
          <w:szCs w:val="22"/>
          <w:highlight w:val="none"/>
        </w:rPr>
        <w:t>不存在大额诉讼或多宗诉讼或其他违法、违约等影响本次招标项目正常履约的情形。</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bCs/>
          <w:color w:val="auto"/>
          <w:sz w:val="22"/>
          <w:szCs w:val="22"/>
          <w:highlight w:val="none"/>
        </w:rPr>
        <w:t>不存在投标人或其关联公司曾与东莞市交通投资集团有限公司及其下属企业签订合</w:t>
      </w:r>
      <w:r>
        <w:rPr>
          <w:rFonts w:hint="eastAsia" w:ascii="宋体" w:hAnsi="宋体"/>
          <w:bCs/>
          <w:color w:val="auto"/>
          <w:sz w:val="22"/>
          <w:szCs w:val="22"/>
          <w:highlight w:val="none"/>
          <w:lang w:val="en-US" w:eastAsia="zh-CN"/>
        </w:rPr>
        <w:t>同</w:t>
      </w:r>
      <w:r>
        <w:rPr>
          <w:rFonts w:hint="eastAsia" w:ascii="宋体" w:hAnsi="宋体"/>
          <w:bCs/>
          <w:color w:val="auto"/>
          <w:sz w:val="22"/>
          <w:szCs w:val="22"/>
          <w:highlight w:val="none"/>
        </w:rPr>
        <w:t>，且正在履约过程中因投标人或其关联公司严重违约而导致合同变更、中止、解除的情形。</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bCs/>
          <w:color w:val="auto"/>
          <w:sz w:val="22"/>
          <w:szCs w:val="22"/>
          <w:highlight w:val="none"/>
        </w:rPr>
        <w:t>投标人或其关联公司未与东莞市交通投资集团有公司及其下属企业发生诉讼的。</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bCs/>
          <w:color w:val="auto"/>
          <w:sz w:val="22"/>
          <w:szCs w:val="22"/>
          <w:highlight w:val="none"/>
        </w:rPr>
        <w:t>不存在院判决或仲裁裁决认定投标人或其关联公司在与东莞市交通投资集团有限公司及其下属企业履约过程中存在违约或过失责任的情形的。</w:t>
      </w:r>
    </w:p>
    <w:p>
      <w:pPr>
        <w:pStyle w:val="116"/>
        <w:numPr>
          <w:ilvl w:val="0"/>
          <w:numId w:val="7"/>
        </w:numPr>
        <w:spacing w:line="360" w:lineRule="auto"/>
        <w:ind w:left="567" w:hanging="567" w:firstLineChars="0"/>
        <w:rPr>
          <w:rFonts w:ascii="宋体" w:hAnsi="宋体"/>
          <w:bCs/>
          <w:color w:val="auto"/>
          <w:sz w:val="22"/>
          <w:szCs w:val="22"/>
          <w:highlight w:val="none"/>
        </w:rPr>
      </w:pPr>
      <w:r>
        <w:rPr>
          <w:rFonts w:hint="eastAsia" w:ascii="宋体" w:hAnsi="宋体"/>
          <w:color w:val="auto"/>
          <w:sz w:val="22"/>
          <w:szCs w:val="22"/>
          <w:highlight w:val="none"/>
          <w:lang w:val="en-US" w:eastAsia="zh-CN"/>
        </w:rPr>
        <w:t>本项目不接受</w:t>
      </w:r>
      <w:r>
        <w:rPr>
          <w:rFonts w:ascii="宋体" w:hAnsi="宋体"/>
          <w:color w:val="auto"/>
          <w:sz w:val="22"/>
          <w:szCs w:val="22"/>
          <w:highlight w:val="none"/>
          <w:lang w:val="zh-CN"/>
        </w:rPr>
        <w:t>联合体投标的投标人</w:t>
      </w:r>
      <w:r>
        <w:rPr>
          <w:rFonts w:hint="eastAsia" w:ascii="宋体" w:hAnsi="宋体"/>
          <w:color w:val="auto"/>
          <w:sz w:val="22"/>
          <w:szCs w:val="22"/>
          <w:highlight w:val="none"/>
          <w:lang w:val="zh-CN"/>
        </w:rPr>
        <w:t>。</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31" w:name="_Toc61529813"/>
      <w:bookmarkStart w:id="32" w:name="_Toc441844056"/>
      <w:r>
        <w:rPr>
          <w:rFonts w:ascii="宋体" w:hAnsi="宋体"/>
          <w:b/>
          <w:bCs/>
          <w:color w:val="auto"/>
          <w:sz w:val="22"/>
          <w:szCs w:val="22"/>
          <w:highlight w:val="none"/>
        </w:rPr>
        <w:t>合格的货物和服务及验收</w:t>
      </w:r>
      <w:bookmarkEnd w:id="31"/>
      <w:bookmarkEnd w:id="32"/>
    </w:p>
    <w:p>
      <w:pPr>
        <w:pStyle w:val="116"/>
        <w:numPr>
          <w:ilvl w:val="0"/>
          <w:numId w:val="8"/>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货物是指投标人制造或组织符合招标文件要求的货物等。投标的货物必须是其合法生产的符合国家有关标准要求的货物，并满足招标文件规定的规格、参数、质量、价格、有效期、售后服务等要求。招标文件中没有提及招标货物来源地的，根据相关规定应当是本国货物。</w:t>
      </w:r>
    </w:p>
    <w:p>
      <w:pPr>
        <w:pStyle w:val="116"/>
        <w:numPr>
          <w:ilvl w:val="0"/>
          <w:numId w:val="8"/>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服务是指除货物和工程以外的其他采购对象，其中包括投标人须承担的运输、安装、技术支持、培训及招标文件规定的其它服务。</w:t>
      </w:r>
    </w:p>
    <w:p>
      <w:pPr>
        <w:pStyle w:val="116"/>
        <w:numPr>
          <w:ilvl w:val="0"/>
          <w:numId w:val="8"/>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投标人应保证,</w:t>
      </w:r>
      <w:r>
        <w:rPr>
          <w:rFonts w:hint="eastAsia" w:ascii="宋体" w:hAnsi="宋体"/>
          <w:color w:val="auto"/>
          <w:sz w:val="22"/>
          <w:szCs w:val="22"/>
          <w:highlight w:val="none"/>
        </w:rPr>
        <w:t>招标</w:t>
      </w:r>
      <w:r>
        <w:rPr>
          <w:rFonts w:ascii="宋体" w:hAnsi="宋体"/>
          <w:color w:val="auto"/>
          <w:sz w:val="22"/>
          <w:szCs w:val="22"/>
          <w:highlight w:val="none"/>
        </w:rPr>
        <w:t>人在中华人民共和国使用货物或服务的任何一部分时,</w:t>
      </w:r>
      <w:r>
        <w:rPr>
          <w:rFonts w:hint="eastAsia" w:ascii="宋体" w:hAnsi="宋体"/>
          <w:color w:val="auto"/>
          <w:sz w:val="22"/>
          <w:szCs w:val="22"/>
          <w:highlight w:val="none"/>
        </w:rPr>
        <w:t>招标</w:t>
      </w:r>
      <w:r>
        <w:rPr>
          <w:rFonts w:ascii="宋体" w:hAnsi="宋体"/>
          <w:color w:val="auto"/>
          <w:sz w:val="22"/>
          <w:szCs w:val="22"/>
          <w:highlight w:val="none"/>
        </w:rPr>
        <w:t>人免受第三方提出侵犯其专利权、商标权或其它知识产权的起诉。</w:t>
      </w:r>
    </w:p>
    <w:p>
      <w:pPr>
        <w:pStyle w:val="116"/>
        <w:numPr>
          <w:ilvl w:val="0"/>
          <w:numId w:val="8"/>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货物验收。</w:t>
      </w:r>
    </w:p>
    <w:p>
      <w:pPr>
        <w:pStyle w:val="116"/>
        <w:numPr>
          <w:ilvl w:val="0"/>
          <w:numId w:val="9"/>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验收工作由招标人（或招标人指定的单位）和中标人共同进行。</w:t>
      </w:r>
    </w:p>
    <w:p>
      <w:pPr>
        <w:pStyle w:val="116"/>
        <w:numPr>
          <w:ilvl w:val="0"/>
          <w:numId w:val="9"/>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在验收时，</w:t>
      </w:r>
      <w:r>
        <w:rPr>
          <w:rFonts w:hint="eastAsia" w:ascii="宋体" w:hAnsi="宋体"/>
          <w:color w:val="auto"/>
          <w:sz w:val="22"/>
          <w:szCs w:val="22"/>
          <w:highlight w:val="none"/>
        </w:rPr>
        <w:t>中标人</w:t>
      </w:r>
      <w:r>
        <w:rPr>
          <w:rFonts w:ascii="宋体" w:hAnsi="宋体"/>
          <w:color w:val="auto"/>
          <w:sz w:val="22"/>
          <w:szCs w:val="22"/>
          <w:highlight w:val="none"/>
        </w:rPr>
        <w:t>应向</w:t>
      </w:r>
      <w:r>
        <w:rPr>
          <w:rFonts w:hint="eastAsia" w:ascii="宋体" w:hAnsi="宋体"/>
          <w:color w:val="auto"/>
          <w:sz w:val="22"/>
          <w:szCs w:val="22"/>
          <w:highlight w:val="none"/>
        </w:rPr>
        <w:t>招标人</w:t>
      </w:r>
      <w:r>
        <w:rPr>
          <w:rFonts w:ascii="宋体" w:hAnsi="宋体"/>
          <w:color w:val="auto"/>
          <w:sz w:val="22"/>
          <w:szCs w:val="22"/>
          <w:highlight w:val="none"/>
        </w:rPr>
        <w:t>提供货物的相关资料，按</w:t>
      </w:r>
      <w:r>
        <w:rPr>
          <w:rFonts w:hint="eastAsia" w:ascii="宋体" w:hAnsi="宋体"/>
          <w:color w:val="auto"/>
          <w:sz w:val="22"/>
          <w:szCs w:val="22"/>
          <w:highlight w:val="none"/>
        </w:rPr>
        <w:t>招标人</w:t>
      </w:r>
      <w:r>
        <w:rPr>
          <w:rFonts w:ascii="宋体" w:hAnsi="宋体"/>
          <w:color w:val="auto"/>
          <w:sz w:val="22"/>
          <w:szCs w:val="22"/>
          <w:highlight w:val="none"/>
        </w:rPr>
        <w:t>提出的方式验收。</w:t>
      </w:r>
    </w:p>
    <w:p>
      <w:pPr>
        <w:pStyle w:val="116"/>
        <w:numPr>
          <w:ilvl w:val="0"/>
          <w:numId w:val="9"/>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由</w:t>
      </w:r>
      <w:r>
        <w:rPr>
          <w:rFonts w:hint="eastAsia" w:ascii="宋体" w:hAnsi="宋体"/>
          <w:color w:val="auto"/>
          <w:sz w:val="22"/>
          <w:szCs w:val="22"/>
          <w:highlight w:val="none"/>
        </w:rPr>
        <w:t>招标人</w:t>
      </w:r>
      <w:r>
        <w:rPr>
          <w:rFonts w:ascii="宋体" w:hAnsi="宋体"/>
          <w:color w:val="auto"/>
          <w:sz w:val="22"/>
          <w:szCs w:val="22"/>
          <w:highlight w:val="none"/>
        </w:rPr>
        <w:t>对货物的质量、规格和数量其他进行检验。如发现质量、规格和数量等任何一项与招标要求规定不符，</w:t>
      </w:r>
      <w:r>
        <w:rPr>
          <w:rFonts w:hint="eastAsia" w:ascii="宋体" w:hAnsi="宋体"/>
          <w:color w:val="auto"/>
          <w:sz w:val="22"/>
          <w:szCs w:val="22"/>
          <w:highlight w:val="none"/>
        </w:rPr>
        <w:t>招标人</w:t>
      </w:r>
      <w:r>
        <w:rPr>
          <w:rFonts w:ascii="宋体" w:hAnsi="宋体"/>
          <w:color w:val="auto"/>
          <w:sz w:val="22"/>
          <w:szCs w:val="22"/>
          <w:highlight w:val="none"/>
        </w:rPr>
        <w:t>有权拒绝接受。</w:t>
      </w:r>
    </w:p>
    <w:p>
      <w:pPr>
        <w:pStyle w:val="116"/>
        <w:numPr>
          <w:ilvl w:val="0"/>
          <w:numId w:val="8"/>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投标人提供相关的服务必须符合中华人民共和国的行业标准。</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33" w:name="_Toc61529814"/>
      <w:bookmarkStart w:id="34" w:name="_Toc441844057"/>
      <w:r>
        <w:rPr>
          <w:rFonts w:ascii="宋体" w:hAnsi="宋体"/>
          <w:b/>
          <w:bCs/>
          <w:color w:val="auto"/>
          <w:sz w:val="22"/>
          <w:szCs w:val="22"/>
          <w:highlight w:val="none"/>
        </w:rPr>
        <w:t>投标费用</w:t>
      </w:r>
      <w:bookmarkEnd w:id="33"/>
      <w:bookmarkEnd w:id="34"/>
    </w:p>
    <w:p>
      <w:pPr>
        <w:pStyle w:val="116"/>
        <w:numPr>
          <w:ilvl w:val="0"/>
          <w:numId w:val="10"/>
        </w:numPr>
        <w:tabs>
          <w:tab w:val="left" w:pos="567"/>
        </w:tabs>
        <w:spacing w:line="360" w:lineRule="auto"/>
        <w:ind w:left="426" w:hanging="426" w:firstLineChars="0"/>
        <w:rPr>
          <w:rFonts w:ascii="宋体" w:hAnsi="宋体"/>
          <w:color w:val="auto"/>
          <w:sz w:val="22"/>
          <w:szCs w:val="22"/>
          <w:highlight w:val="none"/>
          <w:lang w:val="zh-CN"/>
        </w:rPr>
      </w:pPr>
      <w:r>
        <w:rPr>
          <w:rFonts w:hint="eastAsia" w:ascii="宋体" w:hAnsi="宋体"/>
          <w:b/>
          <w:color w:val="auto"/>
          <w:sz w:val="22"/>
          <w:szCs w:val="22"/>
          <w:highlight w:val="none"/>
          <w:lang w:val="zh-CN"/>
        </w:rPr>
        <w:t>不论投标结果如何，投标人应承担自身因投标文件编制、递交及其他参加本采购活动所涉及的一切费用，招标代理机构、招标人对上述费用不负任何责任</w:t>
      </w:r>
      <w:r>
        <w:rPr>
          <w:rFonts w:hint="eastAsia" w:ascii="宋体" w:hAnsi="宋体"/>
          <w:color w:val="auto"/>
          <w:sz w:val="22"/>
          <w:szCs w:val="22"/>
          <w:highlight w:val="none"/>
          <w:lang w:val="zh-CN"/>
        </w:rPr>
        <w:t>。</w:t>
      </w:r>
    </w:p>
    <w:p>
      <w:pPr>
        <w:pStyle w:val="116"/>
        <w:numPr>
          <w:ilvl w:val="0"/>
          <w:numId w:val="10"/>
        </w:numPr>
        <w:tabs>
          <w:tab w:val="left" w:pos="567"/>
        </w:tabs>
        <w:spacing w:line="360" w:lineRule="auto"/>
        <w:ind w:left="426" w:hanging="426" w:firstLineChars="0"/>
        <w:rPr>
          <w:rFonts w:ascii="宋体"/>
          <w:b/>
          <w:color w:val="auto"/>
          <w:sz w:val="22"/>
          <w:szCs w:val="22"/>
          <w:highlight w:val="none"/>
        </w:rPr>
      </w:pPr>
      <w:r>
        <w:rPr>
          <w:rFonts w:ascii="宋体"/>
          <w:b/>
          <w:color w:val="auto"/>
          <w:sz w:val="22"/>
          <w:szCs w:val="22"/>
          <w:highlight w:val="none"/>
        </w:rPr>
        <w:t>中标服务费。</w:t>
      </w:r>
    </w:p>
    <w:p>
      <w:pPr>
        <w:pStyle w:val="116"/>
        <w:numPr>
          <w:ilvl w:val="0"/>
          <w:numId w:val="11"/>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中标人在领取《中标通知书》时应向招标代理机构交纳中标服务费</w:t>
      </w:r>
      <w:r>
        <w:rPr>
          <w:rFonts w:hint="eastAsia" w:ascii="宋体" w:hAnsi="宋体"/>
          <w:bCs/>
          <w:color w:val="auto"/>
          <w:sz w:val="22"/>
          <w:szCs w:val="22"/>
          <w:highlight w:val="none"/>
        </w:rPr>
        <w:t>，</w:t>
      </w:r>
      <w:bookmarkStart w:id="35" w:name="_Hlk46406125"/>
      <w:r>
        <w:rPr>
          <w:rFonts w:hint="eastAsia" w:ascii="宋体" w:hAnsi="宋体"/>
          <w:color w:val="auto"/>
          <w:sz w:val="22"/>
          <w:szCs w:val="22"/>
          <w:highlight w:val="none"/>
        </w:rPr>
        <w:t>中标服务</w:t>
      </w:r>
      <w:r>
        <w:rPr>
          <w:rFonts w:hint="eastAsia" w:ascii="宋体" w:hAnsi="宋体" w:cs="宋体"/>
          <w:bCs/>
          <w:color w:val="auto"/>
          <w:sz w:val="22"/>
          <w:szCs w:val="22"/>
          <w:highlight w:val="none"/>
        </w:rPr>
        <w:t>费</w:t>
      </w:r>
      <w:r>
        <w:rPr>
          <w:rFonts w:hint="eastAsia" w:ascii="宋体" w:hAnsi="宋体" w:eastAsia="宋体"/>
          <w:color w:val="auto"/>
          <w:sz w:val="22"/>
          <w:szCs w:val="22"/>
          <w:highlight w:val="none"/>
          <w:lang w:val="zh-CN"/>
        </w:rPr>
        <w:t>按包号中标价做为计费基数分包组计算服务费，累计单个项目服务费最高限额为</w:t>
      </w:r>
      <w:r>
        <w:rPr>
          <w:rFonts w:ascii="宋体" w:hAnsi="宋体" w:eastAsia="宋体"/>
          <w:color w:val="auto"/>
          <w:sz w:val="22"/>
          <w:szCs w:val="22"/>
          <w:highlight w:val="none"/>
          <w:lang w:val="zh-CN"/>
        </w:rPr>
        <w:t>30</w:t>
      </w:r>
      <w:r>
        <w:rPr>
          <w:rFonts w:hint="eastAsia" w:ascii="宋体" w:hAnsi="宋体" w:eastAsia="宋体"/>
          <w:color w:val="auto"/>
          <w:sz w:val="22"/>
          <w:szCs w:val="22"/>
          <w:highlight w:val="none"/>
          <w:lang w:val="zh-CN"/>
        </w:rPr>
        <w:t>万元，</w:t>
      </w:r>
      <w:r>
        <w:rPr>
          <w:rFonts w:hint="eastAsia" w:ascii="宋体" w:hAnsi="宋体" w:cs="宋体"/>
          <w:bCs/>
          <w:color w:val="auto"/>
          <w:sz w:val="22"/>
          <w:szCs w:val="22"/>
          <w:highlight w:val="none"/>
        </w:rPr>
        <w:t>中标人按各包号中标价比例支付</w:t>
      </w:r>
      <w:r>
        <w:rPr>
          <w:rFonts w:hint="eastAsia" w:ascii="宋体" w:hAnsi="宋体" w:eastAsia="宋体"/>
          <w:color w:val="auto"/>
          <w:sz w:val="22"/>
          <w:szCs w:val="22"/>
          <w:highlight w:val="none"/>
          <w:lang w:val="zh-CN"/>
        </w:rPr>
        <w:t>招标代理服务费，</w:t>
      </w:r>
      <w:bookmarkEnd w:id="35"/>
      <w:r>
        <w:rPr>
          <w:rFonts w:hint="eastAsia" w:ascii="宋体" w:hAnsi="宋体" w:eastAsia="宋体"/>
          <w:color w:val="auto"/>
          <w:sz w:val="22"/>
          <w:szCs w:val="22"/>
          <w:highlight w:val="none"/>
          <w:lang w:val="zh-CN"/>
        </w:rPr>
        <w:t>详细</w:t>
      </w:r>
      <w:r>
        <w:rPr>
          <w:rFonts w:hint="eastAsia" w:ascii="宋体" w:hAnsi="宋体"/>
          <w:color w:val="auto"/>
          <w:sz w:val="22"/>
          <w:szCs w:val="22"/>
          <w:highlight w:val="none"/>
        </w:rPr>
        <w:t>收费标准参见</w:t>
      </w:r>
      <w:r>
        <w:rPr>
          <w:rFonts w:ascii="宋体" w:hAnsi="宋体"/>
          <w:color w:val="auto"/>
          <w:sz w:val="22"/>
          <w:szCs w:val="22"/>
          <w:highlight w:val="none"/>
        </w:rPr>
        <w:t>5.2.5</w:t>
      </w:r>
      <w:r>
        <w:rPr>
          <w:rFonts w:hint="eastAsia" w:ascii="宋体" w:hAnsi="宋体"/>
          <w:color w:val="auto"/>
          <w:sz w:val="22"/>
          <w:szCs w:val="22"/>
          <w:highlight w:val="none"/>
        </w:rPr>
        <w:t>。</w:t>
      </w:r>
    </w:p>
    <w:p>
      <w:pPr>
        <w:pStyle w:val="116"/>
        <w:numPr>
          <w:ilvl w:val="0"/>
          <w:numId w:val="11"/>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中标服务费以人民币支付。</w:t>
      </w:r>
    </w:p>
    <w:p>
      <w:pPr>
        <w:pStyle w:val="116"/>
        <w:numPr>
          <w:ilvl w:val="0"/>
          <w:numId w:val="11"/>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中标服务费支付方式：一次性以电汇、支票或现金等形式支付。</w:t>
      </w:r>
    </w:p>
    <w:p>
      <w:pPr>
        <w:pStyle w:val="116"/>
        <w:numPr>
          <w:ilvl w:val="0"/>
          <w:numId w:val="11"/>
        </w:numPr>
        <w:spacing w:line="360" w:lineRule="auto"/>
        <w:ind w:left="567" w:hanging="567" w:firstLineChars="0"/>
        <w:rPr>
          <w:rFonts w:ascii="宋体" w:hAnsi="宋体"/>
          <w:color w:val="auto"/>
          <w:sz w:val="22"/>
          <w:szCs w:val="22"/>
          <w:highlight w:val="none"/>
        </w:rPr>
      </w:pPr>
      <w:r>
        <w:rPr>
          <w:rFonts w:ascii="宋体" w:hAnsi="宋体"/>
          <w:b/>
          <w:color w:val="auto"/>
          <w:sz w:val="22"/>
          <w:szCs w:val="22"/>
          <w:highlight w:val="none"/>
        </w:rPr>
        <w:t>中标服务费不在投标报价中单列</w:t>
      </w:r>
      <w:r>
        <w:rPr>
          <w:rFonts w:ascii="宋体" w:hAnsi="宋体"/>
          <w:color w:val="auto"/>
          <w:sz w:val="22"/>
          <w:szCs w:val="22"/>
          <w:highlight w:val="none"/>
        </w:rPr>
        <w:t>。</w:t>
      </w:r>
    </w:p>
    <w:p>
      <w:pPr>
        <w:pStyle w:val="116"/>
        <w:numPr>
          <w:ilvl w:val="0"/>
          <w:numId w:val="11"/>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收费标准按采购人与</w:t>
      </w:r>
      <w:r>
        <w:rPr>
          <w:rFonts w:hint="eastAsia" w:ascii="宋体" w:hAnsi="宋体"/>
          <w:color w:val="auto"/>
          <w:sz w:val="22"/>
          <w:szCs w:val="22"/>
          <w:highlight w:val="none"/>
        </w:rPr>
        <w:t>招标</w:t>
      </w:r>
      <w:r>
        <w:rPr>
          <w:rFonts w:ascii="宋体" w:hAnsi="宋体"/>
          <w:color w:val="auto"/>
          <w:sz w:val="22"/>
          <w:szCs w:val="22"/>
          <w:highlight w:val="none"/>
        </w:rPr>
        <w:t>代理机构签订委托协议及原国家计委《关于印发〈招标代理服务收费管理暂行办法〉的通知》（计价格［2002］1980号）和国家发展改革委《关于降低部分建设项目收费标准规范收费行为等有关问题的通知》（发改价格［2011］534号）文件规定</w:t>
      </w:r>
      <w:r>
        <w:rPr>
          <w:rFonts w:hint="eastAsia" w:ascii="宋体" w:hAnsi="宋体"/>
          <w:color w:val="auto"/>
          <w:sz w:val="22"/>
          <w:szCs w:val="22"/>
          <w:highlight w:val="none"/>
        </w:rPr>
        <w:t>的</w:t>
      </w:r>
      <w:r>
        <w:rPr>
          <w:rFonts w:ascii="宋体" w:hAnsi="宋体"/>
          <w:color w:val="auto"/>
          <w:sz w:val="22"/>
          <w:szCs w:val="22"/>
          <w:highlight w:val="none"/>
        </w:rPr>
        <w:t>80%执行，</w:t>
      </w:r>
      <w:r>
        <w:rPr>
          <w:rFonts w:hint="eastAsia" w:ascii="宋体" w:hAnsi="宋体"/>
          <w:color w:val="auto"/>
          <w:sz w:val="22"/>
          <w:szCs w:val="22"/>
          <w:highlight w:val="none"/>
        </w:rPr>
        <w:t>单项中标服务费最高限额3</w:t>
      </w:r>
      <w:r>
        <w:rPr>
          <w:rFonts w:ascii="宋体" w:hAnsi="宋体"/>
          <w:color w:val="auto"/>
          <w:sz w:val="22"/>
          <w:szCs w:val="22"/>
          <w:highlight w:val="none"/>
        </w:rPr>
        <w:t>0</w:t>
      </w:r>
      <w:r>
        <w:rPr>
          <w:rFonts w:hint="eastAsia" w:ascii="宋体" w:hAnsi="宋体"/>
          <w:color w:val="auto"/>
          <w:sz w:val="22"/>
          <w:szCs w:val="22"/>
          <w:highlight w:val="none"/>
        </w:rPr>
        <w:t>万元，具体</w:t>
      </w:r>
      <w:r>
        <w:rPr>
          <w:rFonts w:ascii="宋体" w:hAnsi="宋体"/>
          <w:color w:val="auto"/>
          <w:sz w:val="22"/>
          <w:szCs w:val="22"/>
          <w:highlight w:val="none"/>
        </w:rPr>
        <w:t>收费标准如下表所列：</w:t>
      </w:r>
    </w:p>
    <w:p>
      <w:pPr>
        <w:spacing w:before="100" w:after="100" w:line="360" w:lineRule="auto"/>
        <w:jc w:val="center"/>
        <w:rPr>
          <w:rFonts w:ascii="Times New Roman" w:hAnsi="Times New Roman" w:eastAsia="宋体"/>
          <w:b/>
          <w:bCs/>
          <w:color w:val="auto"/>
          <w:sz w:val="22"/>
          <w:szCs w:val="22"/>
          <w:highlight w:val="none"/>
          <w:lang w:val="zh-CN"/>
        </w:rPr>
      </w:pPr>
      <w:r>
        <w:rPr>
          <w:rFonts w:ascii="Times New Roman" w:hAnsi="Times New Roman" w:eastAsia="宋体"/>
          <w:b/>
          <w:bCs/>
          <w:color w:val="auto"/>
          <w:sz w:val="22"/>
          <w:szCs w:val="22"/>
          <w:highlight w:val="none"/>
          <w:lang w:val="zh-CN"/>
        </w:rPr>
        <w:t>招标代理服务收费标准</w:t>
      </w:r>
    </w:p>
    <w:tbl>
      <w:tblPr>
        <w:tblStyle w:val="51"/>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758"/>
        <w:gridCol w:w="2081"/>
        <w:gridCol w:w="2153"/>
        <w:gridCol w:w="20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34"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-27305</wp:posOffset>
                      </wp:positionV>
                      <wp:extent cx="1710055" cy="781685"/>
                      <wp:effectExtent l="1905" t="4445" r="2540" b="13970"/>
                      <wp:wrapNone/>
                      <wp:docPr id="29" name="直接连接符 2"/>
                      <wp:cNvGraphicFramePr/>
                      <a:graphic xmlns:a="http://schemas.openxmlformats.org/drawingml/2006/main">
                        <a:graphicData uri="http://schemas.microsoft.com/office/word/2010/wordprocessingShape">
                          <wps:wsp>
                            <wps:cNvCnPr/>
                            <wps:spPr>
                              <a:xfrm>
                                <a:off x="0" y="0"/>
                                <a:ext cx="1710055" cy="7816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25pt;margin-top:-2.15pt;height:61.55pt;width:134.65pt;z-index:251660288;mso-width-relative:page;mso-height-relative:page;" filled="f" stroked="t" coordsize="21600,21600" o:gfxdata="UEsDBAoAAAAAAIdO4kAAAAAAAAAAAAAAAAAEAAAAZHJzL1BLAwQUAAAACACHTuJAOQc7btcAAAAJ&#10;AQAADwAAAGRycy9kb3ducmV2LnhtbE2PvU7DQBCEeyTe4bRINFFythMiy/icAnBHQwDRbnyLbeHb&#10;c3yXH3h6NhVUq9F8mp0pN2c3qCNNofdsIF0koIgbb3tuDby91vMcVIjIFgfPZOCbAmyq66sSC+tP&#10;/ELHbWyVhHAo0EAX41hoHZqOHIaFH4nF+/STwyhyarWd8CThbtBZkqy1w57lQ4cjPXTUfG0PzkCo&#10;32lf/8yaWfKxbD1l+8fnJzTm9iZN7kFFOsc/GC71pTpU0mnnD2yDGgzMV3dCXu4SlPjZeiVTdgKm&#10;eQ66KvX/BdUvUEsDBBQAAAAIAIdO4kCw1HMj9QEAAOwDAAAOAAAAZHJzL2Uyb0RvYy54bWytU82O&#10;0zAQviPxDpbvNGml7najpnvYslwQVAIeYOo4jSX/yeNt2pfgBZC4wYkjd96G3cdg7ISyLJceyMGZ&#10;sT9/nu/zeHl9MJrtZUDlbM2nk5IzaYVrlN3V/MP72xcLzjCCbUA7K2t+lMivV8+fLXtfyZnrnG5k&#10;YERisep9zbsYfVUUKDppACfOS0uLrQsGIqVhVzQBemI3upiV5UXRu9D44IREpNn1sMhHxnAOoWtb&#10;JeTaiTsjbRxYg9QQSRJ2yiNf5WrbVor4tm1RRqZrTkpjHukQirdpLFZLqHYBfKfEWAKcU8ITTQaU&#10;pUNPVGuIwO6C+ofKKBEcujZOhDPFICQ7Qiqm5RNv3nXgZdZCVqM/mY7/j1a82W8CU03NZ1ecWTB0&#10;4/efvv/8+OXhx2ca7799ZbPkUu+xIvCN3YQxQ78JSfKhDSb9SQw7ZGePJ2flITJBk9PLaVnO55wJ&#10;WrtcTC8W80Ra/NntA8ZX0hmWgpprZZNyqGD/GuMA/Q1J09qyvuZX81niBGrDlq6fQuNJCtpd3otO&#10;q+ZWaZ12YNhtb3Rge0itkL+xhL9g6ZA1YDfg8lKCQdVJaF7ahsWjJ48svQ2eSjCy4UxLekopysgI&#10;Sp+DJPXaJmqZG3XUmYwerE3R1jXH7HiRMmqCbNrYsKnLHucUP36k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Bztu1wAAAAkBAAAPAAAAAAAAAAEAIAAAACIAAABkcnMvZG93bnJldi54bWxQSwEC&#10;FAAUAAAACACHTuJAsNRzI/UBAADsAwAADgAAAAAAAAABACAAAAAmAQAAZHJzL2Uyb0RvYy54bWxQ&#10;SwUGAAAAAAYABgBZAQAAjQUAAAAA&#10;">
                      <v:fill on="f" focussize="0,0"/>
                      <v:stroke color="#000000" joinstyle="round"/>
                      <v:imagedata o:title=""/>
                      <o:lock v:ext="edit" aspectratio="f"/>
                    </v:line>
                  </w:pict>
                </mc:Fallback>
              </mc:AlternateContent>
            </w:r>
            <w:r>
              <w:rPr>
                <w:rFonts w:ascii="Times New Roman" w:hAnsi="Times New Roman" w:eastAsia="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-13970</wp:posOffset>
                      </wp:positionV>
                      <wp:extent cx="1466850" cy="1133475"/>
                      <wp:effectExtent l="3175" t="3810" r="15875" b="5715"/>
                      <wp:wrapNone/>
                      <wp:docPr id="28" name="直接连接符 1"/>
                      <wp:cNvGraphicFramePr/>
                      <a:graphic xmlns:a="http://schemas.openxmlformats.org/drawingml/2006/main">
                        <a:graphicData uri="http://schemas.microsoft.com/office/word/2010/wordprocessingShape">
                          <wps:wsp>
                            <wps:cNvCnPr/>
                            <wps:spPr>
                              <a:xfrm>
                                <a:off x="0" y="0"/>
                                <a:ext cx="1466850" cy="11334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3.55pt;margin-top:-1.1pt;height:89.25pt;width:115.5pt;z-index:251659264;mso-width-relative:page;mso-height-relative:page;" filled="f" stroked="t" coordsize="21600,21600" o:gfxdata="UEsDBAoAAAAAAIdO4kAAAAAAAAAAAAAAAAAEAAAAZHJzL1BLAwQUAAAACACHTuJAo7roUdcAAAAJ&#10;AQAADwAAAGRycy9kb3ducmV2LnhtbE2Py07DMBBF90j8gzVIbKrWjiP1EeJ0AWTHhgJiO42HJCK2&#10;09h9wNczrGA1Gt2jO2fK7cUN4kRT7IM3kC0UCPJNsL1vDby+1PM1iJjQWxyCJwNfFGFbXV+VWNhw&#10;9s902qVWcImPBRroUhoLKWPTkcO4CCN5zj7C5DDxOrXSTnjmcjdIrdRSOuw9X+hwpPuOms/d0RmI&#10;9Rsd6u9ZM1PveRtIHx6eHtGY25tM3YFIdEl/MPzqszpU7LQPR2+jGAzMVxmTPLUGwbnW+QbEnsHV&#10;MgdZlfL/B9UPUEsDBBQAAAAIAIdO4kCCUX6N9wEAAO0DAAAOAAAAZHJzL2Uyb0RvYy54bWytU82O&#10;0zAQviPxDpbvNE13W5ao6R62LBcEKwEPMHWcxpL/5PE27UvwAkjc4MSR+74Ny2MwdkJZlksP5ODM&#10;2J8/z/d5vLzcG812MqBytublZMqZtMI1ym5r/uH99bMLzjCCbUA7K2t+kMgvV0+fLHtfyZnrnG5k&#10;YERisep9zbsYfVUUKDppACfOS0uLrQsGIqVhWzQBemI3uphNp4uid6HxwQmJSLPrYZGPjOEUQte2&#10;Ssi1E7dG2jiwBqkhkiTslEe+ytW2rRTxbduijEzXnJTGPNIhFG/SWKyWUG0D+E6JsQQ4pYRHmgwo&#10;S4ceqdYQgd0G9Q+VUSI4dG2cCGeKQUh2hFSU00fevOvAy6yFrEZ/NB3/H614s7sJTDU1n9G9WzB0&#10;4/efvv/4+OXn3Wca7799ZWVyqfdYEfjK3oQxQ38TkuR9G0z6kxi2z84ejs7KfWSCJsvzxeJiTqYL&#10;WivLs7Pz5/PEWvzZ7gPGV9IZloKaa2WTdKhg9xrjAP0NSdPasr7mL+azOZEC9WFL90+h8aQF7Tbv&#10;RadVc620TjswbDdXOrAdpF7I31jCX7B0yBqwG3B5KcGg6iQ0L23D4sGTSZYeB08lGNlwpiW9pRRl&#10;ZASlT0GSem0TtcydOupMTg/epmjjmkO2vEgZdUE2bezY1GYPc4ofvtL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66FHXAAAACQEAAA8AAAAAAAAAAQAgAAAAIgAAAGRycy9kb3ducmV2LnhtbFBL&#10;AQIUABQAAAAIAIdO4kCCUX6N9wEAAO0DAAAOAAAAAAAAAAEAIAAAACY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宋体"/>
                <w:color w:val="auto"/>
                <w:sz w:val="22"/>
                <w:szCs w:val="22"/>
                <w:highlight w:val="none"/>
                <w:lang w:val="zh-CN"/>
              </w:rPr>
              <w:t xml:space="preserve"> </w:t>
            </w:r>
            <w:r>
              <w:rPr>
                <w:rFonts w:ascii="Times New Roman" w:hAnsi="Times New Roman" w:eastAsia="宋体"/>
                <w:color w:val="auto"/>
                <w:sz w:val="22"/>
                <w:szCs w:val="22"/>
                <w:highlight w:val="none"/>
                <w:lang w:val="zh-CN"/>
              </w:rPr>
              <w:t xml:space="preserve">   服务类型</w:t>
            </w:r>
          </w:p>
          <w:p>
            <w:pPr>
              <w:spacing w:before="100" w:after="100" w:line="360" w:lineRule="auto"/>
              <w:ind w:firstLine="1430" w:firstLineChars="650"/>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费率</w:t>
            </w:r>
          </w:p>
          <w:p>
            <w:pPr>
              <w:spacing w:before="100" w:after="100" w:line="360" w:lineRule="auto"/>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中标金额（万元）</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货物招标</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服务招标</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工程招标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100万元以下</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1.5%</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1.5%</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100～500万元</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1.1%</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0.8%</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500～1000万元</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0.8%</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0.45%</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1000～5000万元</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0.5%</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0.25%</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5000万元～1亿元</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0.25%</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0.1%</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3" w:hRule="atLeast"/>
          <w:jc w:val="center"/>
        </w:trPr>
        <w:tc>
          <w:tcPr>
            <w:tcW w:w="2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w:t>
            </w:r>
          </w:p>
        </w:tc>
        <w:tc>
          <w:tcPr>
            <w:tcW w:w="21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w:t>
            </w:r>
          </w:p>
        </w:tc>
      </w:tr>
    </w:tbl>
    <w:p>
      <w:pPr>
        <w:spacing w:line="360" w:lineRule="auto"/>
        <w:rPr>
          <w:rFonts w:ascii="宋体" w:hAnsi="宋体"/>
          <w:color w:val="auto"/>
          <w:sz w:val="22"/>
          <w:szCs w:val="22"/>
          <w:highlight w:val="none"/>
          <w:lang w:val="zh-CN"/>
        </w:rPr>
      </w:pPr>
      <w:r>
        <w:rPr>
          <w:rFonts w:ascii="Times New Roman" w:hAnsi="Times New Roman" w:eastAsia="宋体"/>
          <w:color w:val="auto"/>
          <w:sz w:val="22"/>
          <w:szCs w:val="22"/>
          <w:highlight w:val="none"/>
          <w:lang w:val="zh-CN"/>
        </w:rPr>
        <w:t>注：</w:t>
      </w:r>
      <w:r>
        <w:rPr>
          <w:rFonts w:ascii="宋体" w:hAnsi="宋体"/>
          <w:color w:val="auto"/>
          <w:sz w:val="22"/>
          <w:szCs w:val="22"/>
          <w:highlight w:val="none"/>
          <w:lang w:val="zh-CN"/>
        </w:rPr>
        <w:t>1、招标代理服务收费按差额定率累进法计算；</w:t>
      </w:r>
    </w:p>
    <w:p>
      <w:pPr>
        <w:spacing w:line="360" w:lineRule="auto"/>
        <w:ind w:firstLine="440" w:firstLineChars="200"/>
        <w:rPr>
          <w:rFonts w:ascii="宋体" w:hAnsi="宋体"/>
          <w:color w:val="auto"/>
          <w:sz w:val="22"/>
          <w:szCs w:val="22"/>
          <w:highlight w:val="none"/>
          <w:lang w:val="zh-CN"/>
        </w:rPr>
      </w:pPr>
      <w:r>
        <w:rPr>
          <w:rFonts w:ascii="宋体" w:hAnsi="宋体"/>
          <w:color w:val="auto"/>
          <w:sz w:val="22"/>
          <w:szCs w:val="22"/>
          <w:highlight w:val="none"/>
          <w:lang w:val="zh-CN"/>
        </w:rPr>
        <w:t>2、</w:t>
      </w:r>
      <w:r>
        <w:rPr>
          <w:rFonts w:hint="eastAsia" w:ascii="宋体" w:hAnsi="宋体"/>
          <w:color w:val="auto"/>
          <w:sz w:val="22"/>
          <w:szCs w:val="22"/>
          <w:highlight w:val="none"/>
          <w:lang w:val="zh-CN"/>
        </w:rPr>
        <w:t>本次招标为货物采购，招标代理服务收费按货物类计费标准收费，以中标金额作为计费基数</w:t>
      </w:r>
      <w:r>
        <w:rPr>
          <w:rFonts w:ascii="宋体" w:hAnsi="宋体"/>
          <w:color w:val="auto"/>
          <w:sz w:val="22"/>
          <w:szCs w:val="22"/>
          <w:highlight w:val="none"/>
          <w:lang w:val="zh-CN"/>
        </w:rPr>
        <w:t>。</w:t>
      </w:r>
    </w:p>
    <w:p>
      <w:pPr>
        <w:spacing w:line="360" w:lineRule="auto"/>
        <w:ind w:firstLine="440" w:firstLineChars="200"/>
        <w:rPr>
          <w:rFonts w:ascii="宋体" w:hAnsi="宋体"/>
          <w:color w:val="auto"/>
          <w:sz w:val="22"/>
          <w:szCs w:val="22"/>
          <w:highlight w:val="none"/>
          <w:lang w:val="zh-CN"/>
        </w:rPr>
      </w:pPr>
      <w:r>
        <w:rPr>
          <w:rFonts w:ascii="宋体" w:hAnsi="宋体"/>
          <w:color w:val="auto"/>
          <w:sz w:val="22"/>
          <w:szCs w:val="22"/>
          <w:highlight w:val="none"/>
          <w:lang w:val="zh-CN"/>
        </w:rPr>
        <w:t>例：某</w:t>
      </w:r>
      <w:r>
        <w:rPr>
          <w:rFonts w:hint="eastAsia" w:ascii="宋体" w:hAnsi="宋体"/>
          <w:color w:val="auto"/>
          <w:sz w:val="22"/>
          <w:szCs w:val="22"/>
          <w:highlight w:val="none"/>
          <w:lang w:val="zh-CN"/>
        </w:rPr>
        <w:t>服务</w:t>
      </w:r>
      <w:r>
        <w:rPr>
          <w:rFonts w:ascii="宋体" w:hAnsi="宋体"/>
          <w:color w:val="auto"/>
          <w:sz w:val="22"/>
          <w:szCs w:val="22"/>
          <w:highlight w:val="none"/>
          <w:lang w:val="zh-CN"/>
        </w:rPr>
        <w:t>招标代理业务</w:t>
      </w:r>
      <w:r>
        <w:rPr>
          <w:rFonts w:hint="eastAsia" w:ascii="宋体" w:hAnsi="宋体"/>
          <w:color w:val="auto"/>
          <w:sz w:val="22"/>
          <w:szCs w:val="22"/>
          <w:highlight w:val="none"/>
          <w:lang w:val="zh-CN"/>
        </w:rPr>
        <w:t>的招标代理服务费计费基数</w:t>
      </w:r>
      <w:r>
        <w:rPr>
          <w:rFonts w:ascii="宋体" w:hAnsi="宋体"/>
          <w:color w:val="auto"/>
          <w:sz w:val="22"/>
          <w:szCs w:val="22"/>
          <w:highlight w:val="none"/>
          <w:lang w:val="zh-CN"/>
        </w:rPr>
        <w:t>为</w:t>
      </w:r>
      <w:r>
        <w:rPr>
          <w:rFonts w:hint="eastAsia" w:ascii="宋体" w:hAnsi="宋体"/>
          <w:color w:val="auto"/>
          <w:sz w:val="22"/>
          <w:szCs w:val="22"/>
          <w:highlight w:val="none"/>
          <w:lang w:val="zh-CN"/>
        </w:rPr>
        <w:t>1</w:t>
      </w:r>
      <w:r>
        <w:rPr>
          <w:rFonts w:ascii="宋体" w:hAnsi="宋体"/>
          <w:color w:val="auto"/>
          <w:sz w:val="22"/>
          <w:szCs w:val="22"/>
          <w:highlight w:val="none"/>
          <w:lang w:val="zh-CN"/>
        </w:rPr>
        <w:t>000万元，计算招标代理服务收费额如下：</w:t>
      </w:r>
    </w:p>
    <w:p>
      <w:pPr>
        <w:spacing w:line="360" w:lineRule="auto"/>
        <w:ind w:firstLine="550" w:firstLineChars="250"/>
        <w:rPr>
          <w:rFonts w:ascii="宋体" w:hAnsi="宋体"/>
          <w:color w:val="auto"/>
          <w:sz w:val="22"/>
          <w:szCs w:val="22"/>
          <w:highlight w:val="none"/>
          <w:lang w:val="zh-CN"/>
        </w:rPr>
      </w:pPr>
      <w:r>
        <w:rPr>
          <w:rFonts w:ascii="宋体" w:hAnsi="宋体"/>
          <w:color w:val="auto"/>
          <w:sz w:val="22"/>
          <w:szCs w:val="22"/>
          <w:highlight w:val="none"/>
          <w:lang w:val="zh-CN"/>
        </w:rPr>
        <w:t>100万元×1.5%＝1.5万元</w:t>
      </w:r>
    </w:p>
    <w:p>
      <w:pPr>
        <w:spacing w:line="360" w:lineRule="auto"/>
        <w:ind w:firstLine="440" w:firstLineChars="200"/>
        <w:rPr>
          <w:rFonts w:ascii="宋体" w:hAnsi="宋体"/>
          <w:color w:val="auto"/>
          <w:sz w:val="22"/>
          <w:szCs w:val="22"/>
          <w:highlight w:val="none"/>
          <w:lang w:val="zh-CN"/>
        </w:rPr>
      </w:pPr>
      <w:r>
        <w:rPr>
          <w:rFonts w:ascii="宋体" w:hAnsi="宋体"/>
          <w:color w:val="auto"/>
          <w:sz w:val="22"/>
          <w:szCs w:val="22"/>
          <w:highlight w:val="none"/>
          <w:lang w:val="zh-CN"/>
        </w:rPr>
        <w:t>（500－100）万元×0.8%＝</w:t>
      </w:r>
      <w:r>
        <w:rPr>
          <w:rFonts w:hint="eastAsia" w:ascii="宋体" w:hAnsi="宋体"/>
          <w:color w:val="auto"/>
          <w:sz w:val="22"/>
          <w:szCs w:val="22"/>
          <w:highlight w:val="none"/>
          <w:lang w:val="zh-CN"/>
        </w:rPr>
        <w:t>3</w:t>
      </w:r>
      <w:r>
        <w:rPr>
          <w:rFonts w:ascii="宋体" w:hAnsi="宋体"/>
          <w:color w:val="auto"/>
          <w:sz w:val="22"/>
          <w:szCs w:val="22"/>
          <w:highlight w:val="none"/>
          <w:lang w:val="zh-CN"/>
        </w:rPr>
        <w:t>.</w:t>
      </w:r>
      <w:r>
        <w:rPr>
          <w:rFonts w:hint="eastAsia" w:ascii="宋体" w:hAnsi="宋体"/>
          <w:color w:val="auto"/>
          <w:sz w:val="22"/>
          <w:szCs w:val="22"/>
          <w:highlight w:val="none"/>
          <w:lang w:val="zh-CN"/>
        </w:rPr>
        <w:t>2</w:t>
      </w:r>
      <w:r>
        <w:rPr>
          <w:rFonts w:ascii="宋体" w:hAnsi="宋体"/>
          <w:color w:val="auto"/>
          <w:sz w:val="22"/>
          <w:szCs w:val="22"/>
          <w:highlight w:val="none"/>
          <w:lang w:val="zh-CN"/>
        </w:rPr>
        <w:t>万元</w:t>
      </w:r>
    </w:p>
    <w:p>
      <w:pPr>
        <w:spacing w:line="360" w:lineRule="auto"/>
        <w:ind w:firstLine="440" w:firstLineChars="200"/>
        <w:rPr>
          <w:rFonts w:ascii="宋体" w:hAnsi="宋体"/>
          <w:color w:val="auto"/>
          <w:sz w:val="22"/>
          <w:szCs w:val="22"/>
          <w:highlight w:val="none"/>
          <w:lang w:val="zh-CN"/>
        </w:rPr>
      </w:pPr>
      <w:r>
        <w:rPr>
          <w:rFonts w:ascii="宋体" w:hAnsi="宋体"/>
          <w:color w:val="auto"/>
          <w:sz w:val="22"/>
          <w:szCs w:val="22"/>
          <w:highlight w:val="none"/>
          <w:lang w:val="zh-CN"/>
        </w:rPr>
        <w:t>（1000－500）万元×</w:t>
      </w:r>
      <w:r>
        <w:rPr>
          <w:rFonts w:ascii="宋体" w:hAnsi="宋体"/>
          <w:color w:val="auto"/>
          <w:sz w:val="22"/>
          <w:szCs w:val="22"/>
          <w:highlight w:val="none"/>
        </w:rPr>
        <w:t>0.45%</w:t>
      </w:r>
      <w:r>
        <w:rPr>
          <w:rFonts w:ascii="宋体" w:hAnsi="宋体"/>
          <w:color w:val="auto"/>
          <w:sz w:val="22"/>
          <w:szCs w:val="22"/>
          <w:highlight w:val="none"/>
          <w:lang w:val="zh-CN"/>
        </w:rPr>
        <w:t>＝</w:t>
      </w:r>
      <w:r>
        <w:rPr>
          <w:rFonts w:hint="eastAsia" w:ascii="宋体" w:hAnsi="宋体"/>
          <w:color w:val="auto"/>
          <w:sz w:val="22"/>
          <w:szCs w:val="22"/>
          <w:highlight w:val="none"/>
          <w:lang w:val="zh-CN"/>
        </w:rPr>
        <w:t>2.25</w:t>
      </w:r>
      <w:r>
        <w:rPr>
          <w:rFonts w:ascii="宋体" w:hAnsi="宋体"/>
          <w:color w:val="auto"/>
          <w:sz w:val="22"/>
          <w:szCs w:val="22"/>
          <w:highlight w:val="none"/>
          <w:lang w:val="zh-CN"/>
        </w:rPr>
        <w:t>万元</w:t>
      </w:r>
    </w:p>
    <w:p>
      <w:pPr>
        <w:spacing w:line="360" w:lineRule="auto"/>
        <w:ind w:left="574" w:leftChars="200" w:hanging="154" w:hangingChars="70"/>
        <w:rPr>
          <w:rFonts w:ascii="宋体" w:hAnsi="宋体"/>
          <w:color w:val="auto"/>
          <w:sz w:val="22"/>
          <w:szCs w:val="22"/>
          <w:highlight w:val="none"/>
          <w:lang w:val="zh-CN"/>
        </w:rPr>
      </w:pPr>
      <w:r>
        <w:rPr>
          <w:rFonts w:ascii="宋体" w:hAnsi="宋体"/>
          <w:color w:val="auto"/>
          <w:sz w:val="22"/>
          <w:szCs w:val="22"/>
          <w:highlight w:val="none"/>
          <w:lang w:val="zh-CN"/>
        </w:rPr>
        <w:t>合计收费=</w:t>
      </w:r>
      <w:r>
        <w:rPr>
          <w:rFonts w:hint="eastAsia" w:ascii="宋体" w:hAnsi="宋体"/>
          <w:color w:val="auto"/>
          <w:sz w:val="22"/>
          <w:szCs w:val="22"/>
          <w:highlight w:val="none"/>
          <w:lang w:val="zh-CN"/>
        </w:rPr>
        <w:t>（</w:t>
      </w:r>
      <w:r>
        <w:rPr>
          <w:rFonts w:ascii="宋体" w:hAnsi="宋体"/>
          <w:color w:val="auto"/>
          <w:sz w:val="22"/>
          <w:szCs w:val="22"/>
          <w:highlight w:val="none"/>
          <w:lang w:val="zh-CN"/>
        </w:rPr>
        <w:t>1.5＋3.2＋2.25</w:t>
      </w:r>
      <w:r>
        <w:rPr>
          <w:rFonts w:hint="eastAsia" w:ascii="宋体" w:hAnsi="宋体"/>
          <w:color w:val="auto"/>
          <w:sz w:val="22"/>
          <w:szCs w:val="22"/>
          <w:highlight w:val="none"/>
          <w:lang w:val="zh-CN"/>
        </w:rPr>
        <w:t>）</w:t>
      </w:r>
      <w:r>
        <w:rPr>
          <w:rFonts w:ascii="宋体" w:hAnsi="宋体"/>
          <w:color w:val="auto"/>
          <w:sz w:val="22"/>
          <w:szCs w:val="22"/>
          <w:highlight w:val="none"/>
          <w:lang w:val="zh-CN"/>
        </w:rPr>
        <w:t>×80%＝5.56万元</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36" w:name="_Toc61529815"/>
      <w:bookmarkStart w:id="37" w:name="_Toc441844058"/>
      <w:r>
        <w:rPr>
          <w:rFonts w:ascii="宋体" w:hAnsi="宋体"/>
          <w:b/>
          <w:bCs/>
          <w:color w:val="auto"/>
          <w:sz w:val="22"/>
          <w:szCs w:val="22"/>
          <w:highlight w:val="none"/>
        </w:rPr>
        <w:t>踏勘现场</w:t>
      </w:r>
      <w:bookmarkEnd w:id="36"/>
      <w:bookmarkEnd w:id="37"/>
    </w:p>
    <w:p>
      <w:pPr>
        <w:pStyle w:val="116"/>
        <w:numPr>
          <w:ilvl w:val="0"/>
          <w:numId w:val="12"/>
        </w:numPr>
        <w:tabs>
          <w:tab w:val="left" w:pos="0"/>
        </w:tabs>
        <w:spacing w:line="360" w:lineRule="auto"/>
        <w:ind w:firstLineChars="0"/>
        <w:rPr>
          <w:rFonts w:ascii="宋体" w:hAnsi="宋体"/>
          <w:color w:val="auto"/>
          <w:sz w:val="22"/>
          <w:szCs w:val="22"/>
          <w:highlight w:val="none"/>
          <w:lang w:val="zh-CN"/>
        </w:rPr>
      </w:pPr>
      <w:r>
        <w:rPr>
          <w:rFonts w:hint="eastAsia" w:ascii="宋体" w:hAnsi="宋体"/>
          <w:color w:val="auto"/>
          <w:sz w:val="22"/>
          <w:szCs w:val="22"/>
          <w:highlight w:val="none"/>
          <w:lang w:val="zh-CN"/>
        </w:rPr>
        <w:t>投标人应按本《投标人须知前附表》所述时间和要求对工程现场及周围环境进行踏勘，投标人应充分重视和仔细地进行这种考察，以便获取那些须投标人自己负责的有关编制投标文件和签署合同所涉及现场所有的资料。一旦中标，这种考察即被认为其结果已在中标文件中得到充分反映。考察现场的费用由投标人自己承担。</w:t>
      </w:r>
    </w:p>
    <w:p>
      <w:pPr>
        <w:pStyle w:val="116"/>
        <w:numPr>
          <w:ilvl w:val="0"/>
          <w:numId w:val="12"/>
        </w:numPr>
        <w:tabs>
          <w:tab w:val="left" w:pos="0"/>
        </w:tabs>
        <w:spacing w:line="360" w:lineRule="auto"/>
        <w:ind w:firstLineChars="0"/>
        <w:rPr>
          <w:rFonts w:ascii="宋体" w:hAnsi="宋体"/>
          <w:color w:val="auto"/>
          <w:sz w:val="22"/>
          <w:szCs w:val="22"/>
          <w:highlight w:val="none"/>
          <w:lang w:val="zh-CN"/>
        </w:rPr>
      </w:pPr>
      <w:r>
        <w:rPr>
          <w:rFonts w:hint="eastAsia" w:ascii="宋体" w:hAnsi="宋体"/>
          <w:color w:val="auto"/>
          <w:sz w:val="22"/>
          <w:szCs w:val="22"/>
          <w:highlight w:val="none"/>
          <w:lang w:val="zh-CN"/>
        </w:rPr>
        <w:t>招标</w:t>
      </w:r>
      <w:r>
        <w:rPr>
          <w:rFonts w:ascii="宋体" w:hAnsi="宋体"/>
          <w:color w:val="auto"/>
          <w:sz w:val="22"/>
          <w:szCs w:val="22"/>
          <w:highlight w:val="none"/>
          <w:lang w:val="zh-CN"/>
        </w:rPr>
        <w:t>人向投标人提供的有关现场的数据和资料，是</w:t>
      </w:r>
      <w:r>
        <w:rPr>
          <w:rFonts w:hint="eastAsia" w:ascii="宋体" w:hAnsi="宋体"/>
          <w:color w:val="auto"/>
          <w:sz w:val="22"/>
          <w:szCs w:val="22"/>
          <w:highlight w:val="none"/>
          <w:lang w:val="zh-CN"/>
        </w:rPr>
        <w:t>招标</w:t>
      </w:r>
      <w:r>
        <w:rPr>
          <w:rFonts w:ascii="宋体" w:hAnsi="宋体"/>
          <w:color w:val="auto"/>
          <w:sz w:val="22"/>
          <w:szCs w:val="22"/>
          <w:highlight w:val="none"/>
          <w:lang w:val="zh-CN"/>
        </w:rPr>
        <w:t>人现有的能被投标人利用的资料，采购人对投标人做出的任何推论、理解和结论均不负责任。</w:t>
      </w:r>
    </w:p>
    <w:p>
      <w:pPr>
        <w:pStyle w:val="116"/>
        <w:numPr>
          <w:ilvl w:val="0"/>
          <w:numId w:val="12"/>
        </w:numPr>
        <w:tabs>
          <w:tab w:val="left" w:pos="0"/>
        </w:tabs>
        <w:spacing w:line="360" w:lineRule="auto"/>
        <w:ind w:firstLineChars="0"/>
        <w:rPr>
          <w:rFonts w:ascii="宋体" w:hAnsi="宋体"/>
          <w:color w:val="auto"/>
          <w:sz w:val="22"/>
          <w:szCs w:val="22"/>
          <w:highlight w:val="none"/>
          <w:lang w:val="zh-CN"/>
        </w:rPr>
      </w:pPr>
      <w:r>
        <w:rPr>
          <w:rFonts w:ascii="宋体" w:hAnsi="宋体"/>
          <w:color w:val="auto"/>
          <w:sz w:val="22"/>
          <w:szCs w:val="22"/>
          <w:highlight w:val="none"/>
          <w:lang w:val="zh-CN"/>
        </w:rPr>
        <w:t>经</w:t>
      </w:r>
      <w:r>
        <w:rPr>
          <w:rFonts w:hint="eastAsia" w:ascii="宋体" w:hAnsi="宋体"/>
          <w:color w:val="auto"/>
          <w:sz w:val="22"/>
          <w:szCs w:val="22"/>
          <w:highlight w:val="none"/>
          <w:lang w:val="zh-CN"/>
        </w:rPr>
        <w:t>招标</w:t>
      </w:r>
      <w:r>
        <w:rPr>
          <w:rFonts w:ascii="宋体" w:hAnsi="宋体"/>
          <w:color w:val="auto"/>
          <w:sz w:val="22"/>
          <w:szCs w:val="22"/>
          <w:highlight w:val="none"/>
          <w:lang w:val="zh-CN"/>
        </w:rPr>
        <w:t>人允许，投标人可为踏勘目的进入</w:t>
      </w:r>
      <w:r>
        <w:rPr>
          <w:rFonts w:hint="eastAsia" w:ascii="宋体" w:hAnsi="宋体"/>
          <w:color w:val="auto"/>
          <w:sz w:val="22"/>
          <w:szCs w:val="22"/>
          <w:highlight w:val="none"/>
          <w:lang w:val="zh-CN"/>
        </w:rPr>
        <w:t>招标</w:t>
      </w:r>
      <w:r>
        <w:rPr>
          <w:rFonts w:ascii="宋体" w:hAnsi="宋体"/>
          <w:color w:val="auto"/>
          <w:sz w:val="22"/>
          <w:szCs w:val="22"/>
          <w:highlight w:val="none"/>
          <w:lang w:val="zh-CN"/>
        </w:rPr>
        <w:t>人的项目现场。在考察过程中，投标人及其代表必须承担那些进入现场后，由于他们的行为所造成的人身伤害（不管是否致命）、财产损失或损坏，以及其他任何原因造成的损失、损坏或费用，投标人不得因此使</w:t>
      </w:r>
      <w:r>
        <w:rPr>
          <w:rFonts w:hint="eastAsia" w:ascii="宋体" w:hAnsi="宋体"/>
          <w:color w:val="auto"/>
          <w:sz w:val="22"/>
          <w:szCs w:val="22"/>
          <w:highlight w:val="none"/>
          <w:lang w:val="zh-CN"/>
        </w:rPr>
        <w:t>招标</w:t>
      </w:r>
      <w:r>
        <w:rPr>
          <w:rFonts w:ascii="宋体" w:hAnsi="宋体"/>
          <w:color w:val="auto"/>
          <w:sz w:val="22"/>
          <w:szCs w:val="22"/>
          <w:highlight w:val="none"/>
          <w:lang w:val="zh-CN"/>
        </w:rPr>
        <w:t>人承担有关的责任和蒙受损失。</w:t>
      </w:r>
    </w:p>
    <w:p>
      <w:pPr>
        <w:pStyle w:val="4"/>
        <w:tabs>
          <w:tab w:val="left" w:pos="142"/>
          <w:tab w:val="clear" w:pos="1440"/>
        </w:tabs>
        <w:ind w:left="0" w:firstLine="0"/>
        <w:rPr>
          <w:rFonts w:ascii="Times New Roman" w:hAnsi="Times New Roman" w:eastAsia="宋体"/>
          <w:color w:val="auto"/>
          <w:sz w:val="28"/>
          <w:szCs w:val="28"/>
          <w:highlight w:val="none"/>
          <w:lang w:val="zh-CN"/>
        </w:rPr>
      </w:pPr>
      <w:bookmarkStart w:id="38" w:name="_Toc441844059"/>
      <w:bookmarkStart w:id="39" w:name="_Toc61529816"/>
      <w:r>
        <w:rPr>
          <w:rFonts w:ascii="Times New Roman" w:hAnsi="Times New Roman" w:eastAsia="宋体"/>
          <w:color w:val="auto"/>
          <w:sz w:val="28"/>
          <w:szCs w:val="28"/>
          <w:highlight w:val="none"/>
          <w:lang w:val="zh-CN"/>
        </w:rPr>
        <w:t>（二）招标文件</w:t>
      </w:r>
      <w:bookmarkEnd w:id="38"/>
      <w:bookmarkEnd w:id="39"/>
    </w:p>
    <w:p>
      <w:pPr>
        <w:pStyle w:val="294"/>
        <w:numPr>
          <w:ilvl w:val="0"/>
          <w:numId w:val="4"/>
        </w:numPr>
        <w:spacing w:line="360" w:lineRule="auto"/>
        <w:ind w:left="0" w:firstLine="0" w:firstLineChars="0"/>
        <w:outlineLvl w:val="2"/>
        <w:rPr>
          <w:rFonts w:ascii="Times New Roman" w:hAnsi="Times New Roman" w:eastAsia="宋体"/>
          <w:b/>
          <w:bCs/>
          <w:color w:val="auto"/>
          <w:sz w:val="22"/>
          <w:szCs w:val="22"/>
          <w:highlight w:val="none"/>
        </w:rPr>
      </w:pPr>
      <w:bookmarkStart w:id="40" w:name="_Toc61529817"/>
      <w:bookmarkStart w:id="41" w:name="_Toc441844060"/>
      <w:r>
        <w:rPr>
          <w:rFonts w:ascii="Times New Roman" w:hAnsi="Times New Roman" w:eastAsia="宋体"/>
          <w:b/>
          <w:bCs/>
          <w:color w:val="auto"/>
          <w:sz w:val="22"/>
          <w:szCs w:val="22"/>
          <w:highlight w:val="none"/>
        </w:rPr>
        <w:t>招标文件的组成</w:t>
      </w:r>
      <w:bookmarkEnd w:id="40"/>
      <w:bookmarkEnd w:id="41"/>
    </w:p>
    <w:p>
      <w:pPr>
        <w:pStyle w:val="116"/>
        <w:numPr>
          <w:ilvl w:val="0"/>
          <w:numId w:val="13"/>
        </w:numPr>
        <w:spacing w:line="360" w:lineRule="auto"/>
        <w:ind w:firstLineChars="0"/>
        <w:rPr>
          <w:rFonts w:ascii="Times New Roman" w:hAnsi="Times New Roman" w:eastAsia="宋体"/>
          <w:color w:val="auto"/>
          <w:sz w:val="22"/>
          <w:szCs w:val="22"/>
          <w:highlight w:val="none"/>
          <w:lang w:val="zh-CN"/>
        </w:rPr>
      </w:pPr>
      <w:r>
        <w:rPr>
          <w:rFonts w:hint="eastAsia" w:ascii="Times New Roman" w:hAnsi="Times New Roman" w:eastAsia="宋体"/>
          <w:color w:val="auto"/>
          <w:sz w:val="22"/>
          <w:szCs w:val="22"/>
          <w:highlight w:val="none"/>
          <w:lang w:val="zh-CN"/>
        </w:rPr>
        <w:t>招标文件包括：</w:t>
      </w:r>
    </w:p>
    <w:p>
      <w:pPr>
        <w:spacing w:line="360" w:lineRule="auto"/>
        <w:ind w:left="420" w:leftChars="200" w:firstLine="110" w:firstLineChars="50"/>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第一章  投标邀请；</w:t>
      </w:r>
    </w:p>
    <w:p>
      <w:pPr>
        <w:spacing w:line="360" w:lineRule="auto"/>
        <w:ind w:left="420" w:leftChars="200" w:firstLine="110" w:firstLineChars="50"/>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第二章  投标人须知；</w:t>
      </w:r>
    </w:p>
    <w:p>
      <w:pPr>
        <w:spacing w:line="360" w:lineRule="auto"/>
        <w:ind w:left="420" w:leftChars="200" w:firstLine="110" w:firstLineChars="50"/>
        <w:rPr>
          <w:rFonts w:ascii="宋体" w:hAnsi="宋体"/>
          <w:color w:val="auto"/>
          <w:sz w:val="22"/>
          <w:szCs w:val="22"/>
          <w:highlight w:val="none"/>
          <w:lang w:val="zh-CN"/>
        </w:rPr>
      </w:pPr>
      <w:r>
        <w:rPr>
          <w:rFonts w:ascii="宋体" w:hAnsi="宋体"/>
          <w:color w:val="auto"/>
          <w:sz w:val="22"/>
          <w:szCs w:val="22"/>
          <w:highlight w:val="none"/>
          <w:lang w:val="zh-CN"/>
        </w:rPr>
        <w:t>第三章  评标方法；</w:t>
      </w:r>
    </w:p>
    <w:p>
      <w:pPr>
        <w:spacing w:line="360" w:lineRule="auto"/>
        <w:ind w:left="420" w:leftChars="200" w:firstLine="110" w:firstLineChars="50"/>
        <w:rPr>
          <w:rFonts w:ascii="宋体" w:hAnsi="宋体"/>
          <w:color w:val="auto"/>
          <w:sz w:val="22"/>
          <w:szCs w:val="22"/>
          <w:highlight w:val="none"/>
          <w:lang w:val="zh-CN"/>
        </w:rPr>
      </w:pPr>
      <w:r>
        <w:rPr>
          <w:rFonts w:ascii="宋体" w:hAnsi="宋体"/>
          <w:color w:val="auto"/>
          <w:sz w:val="22"/>
          <w:szCs w:val="22"/>
          <w:highlight w:val="none"/>
          <w:lang w:val="zh-CN"/>
        </w:rPr>
        <w:t>第</w:t>
      </w:r>
      <w:r>
        <w:rPr>
          <w:rFonts w:hint="eastAsia" w:ascii="宋体" w:hAnsi="宋体"/>
          <w:color w:val="auto"/>
          <w:sz w:val="22"/>
          <w:szCs w:val="22"/>
          <w:highlight w:val="none"/>
          <w:lang w:val="zh-CN"/>
        </w:rPr>
        <w:t>四</w:t>
      </w:r>
      <w:r>
        <w:rPr>
          <w:rFonts w:ascii="宋体" w:hAnsi="宋体"/>
          <w:color w:val="auto"/>
          <w:sz w:val="22"/>
          <w:szCs w:val="22"/>
          <w:highlight w:val="none"/>
          <w:lang w:val="zh-CN"/>
        </w:rPr>
        <w:t>章  用户需求书；</w:t>
      </w:r>
    </w:p>
    <w:p>
      <w:pPr>
        <w:spacing w:line="360" w:lineRule="auto"/>
        <w:ind w:left="420" w:leftChars="200" w:firstLine="110" w:firstLineChars="50"/>
        <w:rPr>
          <w:rFonts w:ascii="宋体" w:hAnsi="宋体"/>
          <w:color w:val="auto"/>
          <w:sz w:val="22"/>
          <w:szCs w:val="22"/>
          <w:highlight w:val="none"/>
          <w:lang w:val="zh-CN"/>
        </w:rPr>
      </w:pPr>
      <w:r>
        <w:rPr>
          <w:rFonts w:ascii="宋体" w:hAnsi="宋体"/>
          <w:color w:val="auto"/>
          <w:sz w:val="22"/>
          <w:szCs w:val="22"/>
          <w:highlight w:val="none"/>
          <w:lang w:val="zh-CN"/>
        </w:rPr>
        <w:t>第</w:t>
      </w:r>
      <w:r>
        <w:rPr>
          <w:rFonts w:hint="eastAsia" w:ascii="宋体" w:hAnsi="宋体"/>
          <w:color w:val="auto"/>
          <w:sz w:val="22"/>
          <w:szCs w:val="22"/>
          <w:highlight w:val="none"/>
          <w:lang w:val="zh-CN"/>
        </w:rPr>
        <w:t>五</w:t>
      </w:r>
      <w:r>
        <w:rPr>
          <w:rFonts w:ascii="宋体" w:hAnsi="宋体"/>
          <w:color w:val="auto"/>
          <w:sz w:val="22"/>
          <w:szCs w:val="22"/>
          <w:highlight w:val="none"/>
          <w:lang w:val="zh-CN"/>
        </w:rPr>
        <w:t>章  合同书格式；</w:t>
      </w:r>
    </w:p>
    <w:p>
      <w:pPr>
        <w:spacing w:line="360" w:lineRule="auto"/>
        <w:ind w:left="420" w:leftChars="200" w:firstLine="110" w:firstLineChars="50"/>
        <w:rPr>
          <w:rFonts w:ascii="宋体" w:hAnsi="宋体"/>
          <w:color w:val="auto"/>
          <w:sz w:val="22"/>
          <w:szCs w:val="22"/>
          <w:highlight w:val="none"/>
          <w:lang w:val="zh-CN"/>
        </w:rPr>
      </w:pPr>
      <w:r>
        <w:rPr>
          <w:rFonts w:ascii="宋体" w:hAnsi="宋体"/>
          <w:color w:val="auto"/>
          <w:sz w:val="22"/>
          <w:szCs w:val="22"/>
          <w:highlight w:val="none"/>
          <w:lang w:val="zh-CN"/>
        </w:rPr>
        <w:t>第</w:t>
      </w:r>
      <w:r>
        <w:rPr>
          <w:rFonts w:hint="eastAsia" w:ascii="宋体" w:hAnsi="宋体"/>
          <w:color w:val="auto"/>
          <w:sz w:val="22"/>
          <w:szCs w:val="22"/>
          <w:highlight w:val="none"/>
          <w:lang w:val="zh-CN"/>
        </w:rPr>
        <w:t>六</w:t>
      </w:r>
      <w:r>
        <w:rPr>
          <w:rFonts w:ascii="宋体" w:hAnsi="宋体"/>
          <w:color w:val="auto"/>
          <w:sz w:val="22"/>
          <w:szCs w:val="22"/>
          <w:highlight w:val="none"/>
          <w:lang w:val="zh-CN"/>
        </w:rPr>
        <w:t>章  投标文件格式。</w:t>
      </w:r>
    </w:p>
    <w:p>
      <w:pPr>
        <w:pStyle w:val="116"/>
        <w:numPr>
          <w:ilvl w:val="0"/>
          <w:numId w:val="13"/>
        </w:numPr>
        <w:spacing w:line="360" w:lineRule="auto"/>
        <w:ind w:firstLineChars="0"/>
        <w:rPr>
          <w:rFonts w:ascii="Times New Roman" w:hAnsi="Times New Roman" w:eastAsia="宋体"/>
          <w:color w:val="auto"/>
          <w:sz w:val="22"/>
          <w:szCs w:val="22"/>
          <w:highlight w:val="none"/>
          <w:lang w:val="zh-CN"/>
        </w:rPr>
      </w:pPr>
      <w:r>
        <w:rPr>
          <w:rFonts w:ascii="Times New Roman" w:hAnsi="Times New Roman" w:eastAsia="宋体"/>
          <w:color w:val="auto"/>
          <w:sz w:val="22"/>
          <w:szCs w:val="22"/>
          <w:highlight w:val="none"/>
          <w:lang w:val="zh-CN"/>
        </w:rPr>
        <w:t>投标人应认真阅读招标文件中所有的事项、格式、条款和规范等要求。投标人没有按照招标文件要求提交全部资料或者投标文件没有对招标文件在各方面都做出实质性响应是投标人的风险，没有实质性响应招标文件要求的投标将被拒绝。</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42" w:name="_Toc395863076"/>
      <w:bookmarkStart w:id="43" w:name="_Toc441844061"/>
      <w:bookmarkStart w:id="44" w:name="_Toc61529818"/>
      <w:r>
        <w:rPr>
          <w:rFonts w:ascii="宋体" w:hAnsi="宋体"/>
          <w:b/>
          <w:bCs/>
          <w:color w:val="auto"/>
          <w:sz w:val="22"/>
          <w:szCs w:val="22"/>
          <w:highlight w:val="none"/>
        </w:rPr>
        <w:t>招标文件的</w:t>
      </w:r>
      <w:bookmarkEnd w:id="42"/>
      <w:bookmarkEnd w:id="43"/>
      <w:r>
        <w:rPr>
          <w:rFonts w:hint="eastAsia" w:ascii="宋体" w:hAnsi="宋体"/>
          <w:b/>
          <w:bCs/>
          <w:color w:val="auto"/>
          <w:sz w:val="22"/>
          <w:szCs w:val="22"/>
          <w:highlight w:val="none"/>
        </w:rPr>
        <w:t>异议</w:t>
      </w:r>
      <w:bookmarkEnd w:id="44"/>
    </w:p>
    <w:p>
      <w:pPr>
        <w:pStyle w:val="99"/>
        <w:numPr>
          <w:ilvl w:val="0"/>
          <w:numId w:val="14"/>
        </w:numPr>
        <w:spacing w:line="360" w:lineRule="auto"/>
        <w:ind w:firstLineChars="0"/>
        <w:rPr>
          <w:rFonts w:ascii="宋体" w:eastAsia="宋体"/>
          <w:color w:val="auto"/>
          <w:sz w:val="22"/>
          <w:szCs w:val="22"/>
          <w:highlight w:val="none"/>
        </w:rPr>
      </w:pPr>
      <w:bookmarkStart w:id="45" w:name="_Toc39071044"/>
      <w:bookmarkStart w:id="46" w:name="_Toc36971219"/>
      <w:r>
        <w:rPr>
          <w:rFonts w:hint="eastAsia" w:ascii="宋体" w:eastAsia="宋体"/>
          <w:color w:val="auto"/>
          <w:sz w:val="22"/>
          <w:szCs w:val="22"/>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投标人必须在投标文件中提供投标承诺书（格式详见第六章投标文件格式）。</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47" w:name="_Toc61529819"/>
      <w:bookmarkStart w:id="48" w:name="_Toc441844062"/>
      <w:bookmarkStart w:id="49" w:name="_Toc395863077"/>
      <w:r>
        <w:rPr>
          <w:rFonts w:ascii="宋体" w:hAnsi="宋体"/>
          <w:b/>
          <w:bCs/>
          <w:color w:val="auto"/>
          <w:sz w:val="22"/>
          <w:szCs w:val="22"/>
          <w:highlight w:val="none"/>
        </w:rPr>
        <w:t>招标文件的</w:t>
      </w:r>
      <w:r>
        <w:rPr>
          <w:rFonts w:hint="eastAsia" w:ascii="宋体" w:hAnsi="宋体"/>
          <w:b/>
          <w:bCs/>
          <w:color w:val="auto"/>
          <w:sz w:val="22"/>
          <w:szCs w:val="22"/>
          <w:highlight w:val="none"/>
        </w:rPr>
        <w:t>澄清及</w:t>
      </w:r>
      <w:r>
        <w:rPr>
          <w:rFonts w:ascii="宋体" w:hAnsi="宋体"/>
          <w:b/>
          <w:bCs/>
          <w:color w:val="auto"/>
          <w:sz w:val="22"/>
          <w:szCs w:val="22"/>
          <w:highlight w:val="none"/>
        </w:rPr>
        <w:t>修改</w:t>
      </w:r>
      <w:bookmarkEnd w:id="45"/>
      <w:bookmarkEnd w:id="46"/>
      <w:bookmarkEnd w:id="47"/>
      <w:bookmarkEnd w:id="48"/>
      <w:bookmarkEnd w:id="49"/>
    </w:p>
    <w:p>
      <w:pPr>
        <w:pStyle w:val="99"/>
        <w:numPr>
          <w:ilvl w:val="0"/>
          <w:numId w:val="15"/>
        </w:numPr>
        <w:spacing w:line="360" w:lineRule="auto"/>
        <w:ind w:firstLineChars="0"/>
        <w:rPr>
          <w:rFonts w:ascii="宋体" w:eastAsia="宋体"/>
          <w:color w:val="auto"/>
          <w:sz w:val="22"/>
          <w:szCs w:val="22"/>
          <w:highlight w:val="none"/>
        </w:rPr>
      </w:pPr>
      <w:r>
        <w:rPr>
          <w:rFonts w:hint="eastAsia" w:ascii="宋体" w:eastAsia="宋体"/>
          <w:color w:val="auto"/>
          <w:sz w:val="22"/>
          <w:szCs w:val="22"/>
          <w:highlight w:val="none"/>
        </w:rPr>
        <w:t>招标人对已发出的招标文件进行必要澄清或者修改的，将在招标文件要求提交投标文件截止时间15日前，在招标信息发布的媒体上以有编号的澄清通知予以发布。</w:t>
      </w:r>
      <w:r>
        <w:rPr>
          <w:rFonts w:ascii="宋体" w:eastAsia="宋体"/>
          <w:color w:val="auto"/>
          <w:sz w:val="22"/>
          <w:szCs w:val="22"/>
          <w:highlight w:val="none"/>
        </w:rPr>
        <w:t>招标文件的修改内容作为招标文件的组成部分，具有约束作用。</w:t>
      </w:r>
    </w:p>
    <w:p>
      <w:pPr>
        <w:pStyle w:val="99"/>
        <w:numPr>
          <w:ilvl w:val="0"/>
          <w:numId w:val="15"/>
        </w:numPr>
        <w:spacing w:line="360" w:lineRule="auto"/>
        <w:ind w:firstLineChars="0"/>
        <w:rPr>
          <w:rFonts w:ascii="宋体" w:eastAsia="宋体"/>
          <w:color w:val="auto"/>
          <w:sz w:val="22"/>
          <w:szCs w:val="22"/>
          <w:highlight w:val="none"/>
        </w:rPr>
      </w:pPr>
      <w:r>
        <w:rPr>
          <w:rFonts w:ascii="宋体" w:eastAsia="宋体"/>
          <w:color w:val="auto"/>
          <w:sz w:val="22"/>
          <w:szCs w:val="22"/>
          <w:highlight w:val="none"/>
        </w:rPr>
        <w:t>当招标文件、招标文件的澄清、修改、补充等在同一内容的表述上不一致时，以最后发出的文件为准。</w:t>
      </w:r>
    </w:p>
    <w:p>
      <w:pPr>
        <w:pStyle w:val="99"/>
        <w:numPr>
          <w:ilvl w:val="0"/>
          <w:numId w:val="15"/>
        </w:numPr>
        <w:spacing w:line="360" w:lineRule="auto"/>
        <w:ind w:firstLineChars="0"/>
        <w:rPr>
          <w:rFonts w:ascii="宋体" w:eastAsia="宋体"/>
          <w:color w:val="auto"/>
          <w:sz w:val="22"/>
          <w:szCs w:val="22"/>
          <w:highlight w:val="none"/>
        </w:rPr>
      </w:pPr>
      <w:r>
        <w:rPr>
          <w:rFonts w:ascii="宋体" w:eastAsia="宋体"/>
          <w:color w:val="auto"/>
          <w:sz w:val="22"/>
          <w:szCs w:val="22"/>
          <w:highlight w:val="none"/>
        </w:rPr>
        <w:t>为使投标人在编制投标文件时有充分的时间对招标文件的澄清、修改、补充等内容进行研究，</w:t>
      </w:r>
      <w:r>
        <w:rPr>
          <w:rFonts w:hint="eastAsia" w:ascii="宋体" w:eastAsia="宋体"/>
          <w:color w:val="auto"/>
          <w:sz w:val="22"/>
          <w:szCs w:val="22"/>
          <w:highlight w:val="none"/>
        </w:rPr>
        <w:t>招标</w:t>
      </w:r>
      <w:r>
        <w:rPr>
          <w:rFonts w:ascii="宋体" w:eastAsia="宋体"/>
          <w:color w:val="auto"/>
          <w:sz w:val="22"/>
          <w:szCs w:val="22"/>
          <w:highlight w:val="none"/>
        </w:rPr>
        <w:t>代理机构将酌情延长提交投标文件的截止时间，具体时间将在招标文件的修改、补充通知中予以明确。</w:t>
      </w:r>
    </w:p>
    <w:p>
      <w:pPr>
        <w:pStyle w:val="99"/>
        <w:numPr>
          <w:ilvl w:val="0"/>
          <w:numId w:val="15"/>
        </w:numPr>
        <w:spacing w:line="360" w:lineRule="auto"/>
        <w:ind w:firstLineChars="0"/>
        <w:rPr>
          <w:rFonts w:ascii="宋体" w:eastAsia="宋体"/>
          <w:color w:val="auto"/>
          <w:sz w:val="22"/>
          <w:szCs w:val="22"/>
          <w:highlight w:val="none"/>
        </w:rPr>
      </w:pPr>
      <w:r>
        <w:rPr>
          <w:rFonts w:ascii="宋体" w:eastAsia="宋体"/>
          <w:color w:val="auto"/>
          <w:sz w:val="22"/>
          <w:szCs w:val="22"/>
          <w:highlight w:val="none"/>
        </w:rPr>
        <w:t>招标文件的修改、补充通知将在《投标人须知前附表》规定的媒体公告上公布，请各投标人密切留意。</w:t>
      </w:r>
    </w:p>
    <w:p>
      <w:pPr>
        <w:pStyle w:val="4"/>
        <w:tabs>
          <w:tab w:val="left" w:pos="142"/>
          <w:tab w:val="clear" w:pos="1440"/>
        </w:tabs>
        <w:ind w:left="0" w:firstLine="0"/>
        <w:rPr>
          <w:rFonts w:ascii="宋体" w:hAnsi="宋体" w:eastAsia="宋体"/>
          <w:color w:val="auto"/>
          <w:sz w:val="22"/>
          <w:szCs w:val="22"/>
          <w:highlight w:val="none"/>
          <w:lang w:val="zh-CN"/>
        </w:rPr>
      </w:pPr>
      <w:bookmarkStart w:id="50" w:name="_Toc441844063"/>
      <w:bookmarkStart w:id="51" w:name="_Toc61529820"/>
      <w:r>
        <w:rPr>
          <w:rFonts w:ascii="宋体" w:hAnsi="宋体" w:eastAsia="宋体"/>
          <w:color w:val="auto"/>
          <w:sz w:val="22"/>
          <w:szCs w:val="22"/>
          <w:highlight w:val="none"/>
          <w:lang w:val="zh-CN"/>
        </w:rPr>
        <w:t>（三）投标文件编制</w:t>
      </w:r>
      <w:bookmarkEnd w:id="50"/>
      <w:bookmarkEnd w:id="51"/>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52" w:name="_Toc441844064"/>
      <w:bookmarkStart w:id="53" w:name="_Toc61529821"/>
      <w:r>
        <w:rPr>
          <w:rFonts w:ascii="宋体" w:hAnsi="宋体"/>
          <w:b/>
          <w:bCs/>
          <w:color w:val="auto"/>
          <w:sz w:val="22"/>
          <w:szCs w:val="22"/>
          <w:highlight w:val="none"/>
        </w:rPr>
        <w:t>投标文件的语言及度量衡单位</w:t>
      </w:r>
      <w:bookmarkEnd w:id="52"/>
      <w:bookmarkEnd w:id="53"/>
    </w:p>
    <w:p>
      <w:pPr>
        <w:pStyle w:val="99"/>
        <w:numPr>
          <w:ilvl w:val="0"/>
          <w:numId w:val="16"/>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投标人提交的投标文件以及投标人与</w:t>
      </w:r>
      <w:r>
        <w:rPr>
          <w:rFonts w:hint="eastAsia" w:ascii="宋体" w:eastAsia="宋体"/>
          <w:color w:val="auto"/>
          <w:sz w:val="22"/>
          <w:szCs w:val="22"/>
          <w:highlight w:val="none"/>
        </w:rPr>
        <w:t>招标</w:t>
      </w:r>
      <w:r>
        <w:rPr>
          <w:rFonts w:ascii="宋体" w:eastAsia="宋体"/>
          <w:color w:val="auto"/>
          <w:sz w:val="22"/>
          <w:szCs w:val="22"/>
          <w:highlight w:val="none"/>
        </w:rPr>
        <w:t>代理机构就有关投标的所有来往函件均应使用简体中文书写。对于任何非中文的资料，都应提供简体中文翻译本，有矛盾时以简体中文翻译本为准。对中文翻译有异议的，以权威机构的译本为准。</w:t>
      </w:r>
    </w:p>
    <w:p>
      <w:pPr>
        <w:pStyle w:val="99"/>
        <w:numPr>
          <w:ilvl w:val="0"/>
          <w:numId w:val="16"/>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在投标文件中以及所有投标人与</w:t>
      </w:r>
      <w:r>
        <w:rPr>
          <w:rFonts w:hint="eastAsia" w:ascii="宋体" w:eastAsia="宋体"/>
          <w:color w:val="auto"/>
          <w:sz w:val="22"/>
          <w:szCs w:val="22"/>
          <w:highlight w:val="none"/>
        </w:rPr>
        <w:t>招标</w:t>
      </w:r>
      <w:r>
        <w:rPr>
          <w:rFonts w:ascii="宋体" w:eastAsia="宋体"/>
          <w:color w:val="auto"/>
          <w:sz w:val="22"/>
          <w:szCs w:val="22"/>
          <w:highlight w:val="none"/>
        </w:rPr>
        <w:t>代理机构和</w:t>
      </w:r>
      <w:r>
        <w:rPr>
          <w:rFonts w:hint="eastAsia" w:ascii="宋体" w:eastAsia="宋体"/>
          <w:color w:val="auto"/>
          <w:sz w:val="22"/>
          <w:szCs w:val="22"/>
          <w:highlight w:val="none"/>
        </w:rPr>
        <w:t>招标</w:t>
      </w:r>
      <w:r>
        <w:rPr>
          <w:rFonts w:ascii="宋体" w:eastAsia="宋体"/>
          <w:color w:val="auto"/>
          <w:sz w:val="22"/>
          <w:szCs w:val="22"/>
          <w:highlight w:val="none"/>
        </w:rPr>
        <w:t>人往来文件中的所有计量单位和规格都应按国家有关规定使用公制标准。</w:t>
      </w:r>
    </w:p>
    <w:p>
      <w:pPr>
        <w:pStyle w:val="99"/>
        <w:numPr>
          <w:ilvl w:val="0"/>
          <w:numId w:val="16"/>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招标文件中，如标有“★”的条款均为必须完全满足指标，投标人须进行实质性响应，投标人若有一项带“★”的条款未响应或不满足，将按无效投标处理。</w:t>
      </w:r>
    </w:p>
    <w:p>
      <w:pPr>
        <w:pStyle w:val="99"/>
        <w:numPr>
          <w:ilvl w:val="0"/>
          <w:numId w:val="16"/>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招标文件中，如标有“▲”的条款均为评审的重要评分指标，投标人若有部分“▲”条款未响应或不满足，将导致其响应性评审严重扣分。</w:t>
      </w:r>
    </w:p>
    <w:p>
      <w:pPr>
        <w:pStyle w:val="99"/>
        <w:numPr>
          <w:ilvl w:val="0"/>
          <w:numId w:val="16"/>
        </w:numPr>
        <w:spacing w:line="360" w:lineRule="auto"/>
        <w:ind w:left="567" w:hanging="567" w:firstLineChars="0"/>
        <w:rPr>
          <w:rFonts w:ascii="宋体" w:eastAsia="宋体"/>
          <w:color w:val="auto"/>
          <w:sz w:val="22"/>
          <w:szCs w:val="22"/>
          <w:highlight w:val="none"/>
        </w:rPr>
      </w:pPr>
      <w:r>
        <w:rPr>
          <w:rFonts w:hint="eastAsia" w:ascii="宋体" w:eastAsia="宋体"/>
          <w:color w:val="auto"/>
          <w:sz w:val="22"/>
          <w:szCs w:val="22"/>
          <w:highlight w:val="none"/>
        </w:rPr>
        <w:t>投标文件按规定加盖的投标人公章必须为企业法人公章，且与投标人名称一致，不能以其它业务章或附属机构章代替。需签名之处必须由当事人（投标人的法定代表人或授权委托人）签字或盖私章。</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54" w:name="_Toc61529822"/>
      <w:bookmarkStart w:id="55" w:name="_Toc441844065"/>
      <w:r>
        <w:rPr>
          <w:rFonts w:ascii="宋体" w:hAnsi="宋体"/>
          <w:b/>
          <w:bCs/>
          <w:color w:val="auto"/>
          <w:sz w:val="22"/>
          <w:szCs w:val="22"/>
          <w:highlight w:val="none"/>
        </w:rPr>
        <w:t>投标文件构成</w:t>
      </w:r>
      <w:bookmarkEnd w:id="54"/>
      <w:bookmarkEnd w:id="55"/>
    </w:p>
    <w:p>
      <w:pPr>
        <w:pStyle w:val="294"/>
        <w:numPr>
          <w:ilvl w:val="0"/>
          <w:numId w:val="17"/>
        </w:numPr>
        <w:tabs>
          <w:tab w:val="left" w:pos="567"/>
        </w:tabs>
        <w:spacing w:line="360" w:lineRule="auto"/>
        <w:ind w:left="426" w:hanging="426" w:firstLineChars="0"/>
        <w:rPr>
          <w:rFonts w:ascii="宋体" w:hAnsi="宋体" w:eastAsia="宋体"/>
          <w:color w:val="auto"/>
          <w:szCs w:val="21"/>
          <w:highlight w:val="none"/>
        </w:rPr>
      </w:pPr>
      <w:r>
        <w:rPr>
          <w:rFonts w:ascii="宋体" w:hAnsi="宋体" w:eastAsia="宋体"/>
          <w:color w:val="auto"/>
          <w:szCs w:val="21"/>
          <w:highlight w:val="none"/>
        </w:rPr>
        <w:t>投标人编写的投标文件应包括下列部分：</w:t>
      </w:r>
    </w:p>
    <w:p>
      <w:pPr>
        <w:spacing w:line="360" w:lineRule="auto"/>
        <w:ind w:left="334" w:leftChars="159" w:firstLine="216" w:firstLineChars="98"/>
        <w:rPr>
          <w:rFonts w:ascii="宋体" w:hAnsi="宋体"/>
          <w:b/>
          <w:bCs/>
          <w:color w:val="auto"/>
          <w:sz w:val="22"/>
          <w:szCs w:val="22"/>
          <w:highlight w:val="none"/>
        </w:rPr>
      </w:pPr>
      <w:r>
        <w:rPr>
          <w:rFonts w:ascii="宋体" w:hAnsi="宋体"/>
          <w:b/>
          <w:bCs/>
          <w:color w:val="auto"/>
          <w:sz w:val="22"/>
          <w:szCs w:val="22"/>
          <w:highlight w:val="none"/>
        </w:rPr>
        <w:t>1、唱标信封</w:t>
      </w:r>
      <w:r>
        <w:rPr>
          <w:rFonts w:hint="eastAsia" w:ascii="宋体" w:hAnsi="宋体"/>
          <w:b/>
          <w:bCs/>
          <w:color w:val="auto"/>
          <w:sz w:val="22"/>
          <w:szCs w:val="22"/>
          <w:highlight w:val="none"/>
        </w:rPr>
        <w:t>（单独密封）</w:t>
      </w:r>
    </w:p>
    <w:p>
      <w:pPr>
        <w:numPr>
          <w:ilvl w:val="0"/>
          <w:numId w:val="18"/>
        </w:numPr>
        <w:spacing w:line="360" w:lineRule="auto"/>
        <w:ind w:left="1340"/>
        <w:rPr>
          <w:rFonts w:ascii="宋体" w:hAnsi="宋体"/>
          <w:color w:val="auto"/>
          <w:sz w:val="22"/>
          <w:szCs w:val="22"/>
          <w:highlight w:val="none"/>
        </w:rPr>
      </w:pPr>
      <w:r>
        <w:rPr>
          <w:rFonts w:ascii="宋体" w:hAnsi="宋体"/>
          <w:color w:val="auto"/>
          <w:sz w:val="22"/>
          <w:szCs w:val="22"/>
          <w:highlight w:val="none"/>
        </w:rPr>
        <w:t>投标报价一览表</w:t>
      </w:r>
      <w:r>
        <w:rPr>
          <w:rFonts w:hint="eastAsia" w:ascii="宋体" w:hAnsi="宋体"/>
          <w:color w:val="auto"/>
          <w:sz w:val="22"/>
          <w:szCs w:val="22"/>
          <w:highlight w:val="none"/>
        </w:rPr>
        <w:t>；</w:t>
      </w:r>
    </w:p>
    <w:p>
      <w:pPr>
        <w:numPr>
          <w:ilvl w:val="0"/>
          <w:numId w:val="18"/>
        </w:numPr>
        <w:spacing w:line="360" w:lineRule="auto"/>
        <w:ind w:left="1340"/>
        <w:rPr>
          <w:rFonts w:ascii="宋体" w:hAnsi="宋体"/>
          <w:color w:val="auto"/>
          <w:sz w:val="22"/>
          <w:szCs w:val="22"/>
          <w:highlight w:val="none"/>
        </w:rPr>
      </w:pPr>
      <w:r>
        <w:rPr>
          <w:rFonts w:ascii="宋体" w:hAnsi="宋体"/>
          <w:color w:val="auto"/>
          <w:sz w:val="22"/>
          <w:szCs w:val="22"/>
          <w:highlight w:val="none"/>
        </w:rPr>
        <w:t>投标保证金汇入情况说明及投标保证金复印件</w:t>
      </w:r>
      <w:r>
        <w:rPr>
          <w:rFonts w:hint="eastAsia" w:ascii="宋体" w:hAnsi="宋体"/>
          <w:color w:val="auto"/>
          <w:sz w:val="22"/>
          <w:szCs w:val="22"/>
          <w:highlight w:val="none"/>
        </w:rPr>
        <w:t>加盖公章；</w:t>
      </w:r>
    </w:p>
    <w:p>
      <w:pPr>
        <w:numPr>
          <w:ilvl w:val="0"/>
          <w:numId w:val="18"/>
        </w:numPr>
        <w:spacing w:line="360" w:lineRule="auto"/>
        <w:ind w:left="1340"/>
        <w:rPr>
          <w:rFonts w:ascii="宋体" w:hAnsi="宋体"/>
          <w:color w:val="auto"/>
          <w:sz w:val="22"/>
          <w:szCs w:val="22"/>
          <w:highlight w:val="none"/>
        </w:rPr>
      </w:pPr>
      <w:bookmarkStart w:id="56" w:name="_Hlk46406861"/>
      <w:r>
        <w:rPr>
          <w:rFonts w:hint="eastAsia" w:ascii="宋体" w:hAnsi="宋体" w:eastAsia="宋体"/>
          <w:color w:val="auto"/>
          <w:sz w:val="22"/>
          <w:szCs w:val="22"/>
          <w:highlight w:val="none"/>
        </w:rPr>
        <w:t>法定代表人授权委托书</w:t>
      </w:r>
      <w:bookmarkEnd w:id="56"/>
      <w:r>
        <w:rPr>
          <w:rFonts w:hint="eastAsia" w:ascii="宋体" w:hAnsi="宋体" w:eastAsia="宋体"/>
          <w:color w:val="auto"/>
          <w:sz w:val="22"/>
          <w:szCs w:val="22"/>
          <w:highlight w:val="none"/>
        </w:rPr>
        <w:t>原件及被授权代表身份证复印件</w:t>
      </w:r>
      <w:bookmarkStart w:id="57" w:name="_Hlk41267762"/>
      <w:r>
        <w:rPr>
          <w:rFonts w:hint="eastAsia" w:ascii="宋体" w:hAnsi="宋体" w:eastAsia="宋体"/>
          <w:color w:val="auto"/>
          <w:sz w:val="22"/>
          <w:szCs w:val="22"/>
          <w:highlight w:val="none"/>
        </w:rPr>
        <w:t>加盖公章</w:t>
      </w:r>
      <w:bookmarkEnd w:id="57"/>
      <w:r>
        <w:rPr>
          <w:rFonts w:hint="eastAsia" w:ascii="宋体" w:hAnsi="宋体" w:eastAsia="宋体"/>
          <w:color w:val="auto"/>
          <w:sz w:val="22"/>
          <w:szCs w:val="22"/>
          <w:highlight w:val="none"/>
        </w:rPr>
        <w:t>（如法定代表人投标则附法定代表人身份证明书原件及法定代表人身份证复印件加盖公章）；</w:t>
      </w:r>
    </w:p>
    <w:p>
      <w:pPr>
        <w:numPr>
          <w:ilvl w:val="0"/>
          <w:numId w:val="18"/>
        </w:numPr>
        <w:spacing w:line="360" w:lineRule="auto"/>
        <w:ind w:left="1340"/>
        <w:rPr>
          <w:rFonts w:ascii="宋体" w:hAnsi="宋体"/>
          <w:bCs/>
          <w:color w:val="auto"/>
          <w:sz w:val="22"/>
          <w:szCs w:val="22"/>
          <w:highlight w:val="none"/>
        </w:rPr>
      </w:pPr>
      <w:r>
        <w:rPr>
          <w:rFonts w:ascii="宋体" w:hAnsi="宋体"/>
          <w:color w:val="auto"/>
          <w:sz w:val="22"/>
          <w:szCs w:val="22"/>
          <w:highlight w:val="none"/>
        </w:rPr>
        <w:t>电子文件</w:t>
      </w:r>
      <w:r>
        <w:rPr>
          <w:rFonts w:hint="eastAsia" w:ascii="宋体" w:hAnsi="宋体"/>
          <w:color w:val="auto"/>
          <w:sz w:val="22"/>
          <w:szCs w:val="22"/>
          <w:highlight w:val="none"/>
        </w:rPr>
        <w:t>。</w:t>
      </w:r>
    </w:p>
    <w:p>
      <w:pPr>
        <w:spacing w:line="360" w:lineRule="auto"/>
        <w:ind w:left="540"/>
        <w:rPr>
          <w:rFonts w:ascii="宋体" w:hAnsi="宋体"/>
          <w:b/>
          <w:bCs/>
          <w:color w:val="auto"/>
          <w:sz w:val="22"/>
          <w:szCs w:val="22"/>
          <w:highlight w:val="none"/>
        </w:rPr>
      </w:pPr>
      <w:r>
        <w:rPr>
          <w:rFonts w:ascii="宋体" w:hAnsi="宋体"/>
          <w:b/>
          <w:bCs/>
          <w:color w:val="auto"/>
          <w:sz w:val="22"/>
          <w:szCs w:val="22"/>
          <w:highlight w:val="none"/>
        </w:rPr>
        <w:t>2、价格部分文件</w:t>
      </w:r>
    </w:p>
    <w:p>
      <w:pPr>
        <w:numPr>
          <w:ilvl w:val="0"/>
          <w:numId w:val="19"/>
        </w:numPr>
        <w:spacing w:line="360" w:lineRule="auto"/>
        <w:ind w:left="1340"/>
        <w:rPr>
          <w:rFonts w:ascii="宋体" w:hAnsi="宋体"/>
          <w:color w:val="auto"/>
          <w:sz w:val="22"/>
          <w:szCs w:val="22"/>
          <w:highlight w:val="none"/>
        </w:rPr>
      </w:pPr>
      <w:r>
        <w:rPr>
          <w:rFonts w:ascii="宋体" w:hAnsi="宋体"/>
          <w:color w:val="auto"/>
          <w:sz w:val="22"/>
          <w:szCs w:val="22"/>
          <w:highlight w:val="none"/>
        </w:rPr>
        <w:t>投标报价一览表</w:t>
      </w:r>
      <w:r>
        <w:rPr>
          <w:rFonts w:hint="eastAsia" w:ascii="宋体" w:hAnsi="宋体"/>
          <w:color w:val="auto"/>
          <w:sz w:val="22"/>
          <w:szCs w:val="22"/>
          <w:highlight w:val="none"/>
        </w:rPr>
        <w:t>；</w:t>
      </w:r>
    </w:p>
    <w:p>
      <w:pPr>
        <w:numPr>
          <w:ilvl w:val="0"/>
          <w:numId w:val="19"/>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投标分项报价表。</w:t>
      </w:r>
    </w:p>
    <w:p>
      <w:pPr>
        <w:spacing w:line="360" w:lineRule="auto"/>
        <w:ind w:left="540"/>
        <w:rPr>
          <w:rFonts w:ascii="宋体" w:hAnsi="宋体"/>
          <w:color w:val="auto"/>
          <w:sz w:val="22"/>
          <w:szCs w:val="22"/>
          <w:highlight w:val="none"/>
        </w:rPr>
      </w:pPr>
      <w:r>
        <w:rPr>
          <w:rFonts w:ascii="宋体" w:hAnsi="宋体"/>
          <w:b/>
          <w:bCs/>
          <w:color w:val="auto"/>
          <w:sz w:val="22"/>
          <w:szCs w:val="22"/>
          <w:highlight w:val="none"/>
        </w:rPr>
        <w:t>3、商务、技术部分文件</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投标函；</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承诺书；</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法定代表人身份证明书</w:t>
      </w:r>
      <w:r>
        <w:rPr>
          <w:rFonts w:hint="eastAsia" w:ascii="宋体" w:hAnsi="宋体"/>
          <w:color w:val="auto"/>
          <w:sz w:val="22"/>
          <w:szCs w:val="22"/>
          <w:highlight w:val="none"/>
          <w:lang w:eastAsia="zh-CN"/>
        </w:rPr>
        <w:t>；</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法定代表人授权委托书</w:t>
      </w:r>
      <w:r>
        <w:rPr>
          <w:rFonts w:hint="eastAsia" w:ascii="宋体" w:hAnsi="宋体"/>
          <w:color w:val="auto"/>
          <w:sz w:val="22"/>
          <w:szCs w:val="22"/>
          <w:highlight w:val="none"/>
          <w:lang w:eastAsia="zh-CN"/>
        </w:rPr>
        <w:t>；</w:t>
      </w:r>
    </w:p>
    <w:p>
      <w:pPr>
        <w:numPr>
          <w:ilvl w:val="0"/>
          <w:numId w:val="20"/>
        </w:numPr>
        <w:spacing w:line="360" w:lineRule="auto"/>
        <w:ind w:left="1340"/>
        <w:rPr>
          <w:rFonts w:ascii="宋体" w:hAnsi="宋体"/>
          <w:color w:val="auto"/>
          <w:sz w:val="22"/>
          <w:szCs w:val="22"/>
          <w:highlight w:val="none"/>
        </w:rPr>
      </w:pPr>
      <w:r>
        <w:rPr>
          <w:rFonts w:hint="eastAsia"/>
          <w:color w:val="auto"/>
          <w:sz w:val="22"/>
          <w:szCs w:val="22"/>
          <w:highlight w:val="none"/>
        </w:rPr>
        <w:t>资格文件声明函</w:t>
      </w:r>
      <w:r>
        <w:rPr>
          <w:rFonts w:hint="eastAsia"/>
          <w:color w:val="auto"/>
          <w:sz w:val="22"/>
          <w:szCs w:val="22"/>
          <w:highlight w:val="none"/>
          <w:lang w:eastAsia="zh-CN"/>
        </w:rPr>
        <w:t>；</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投标单位基本情况、简介</w:t>
      </w:r>
      <w:r>
        <w:rPr>
          <w:rFonts w:hint="eastAsia" w:ascii="宋体" w:hAnsi="宋体"/>
          <w:color w:val="auto"/>
          <w:sz w:val="22"/>
          <w:szCs w:val="22"/>
          <w:highlight w:val="none"/>
          <w:lang w:eastAsia="zh-CN"/>
        </w:rPr>
        <w:t>；</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投标人资格证明文件</w:t>
      </w:r>
      <w:r>
        <w:rPr>
          <w:rFonts w:hint="eastAsia" w:ascii="宋体" w:hAnsi="宋体"/>
          <w:color w:val="auto"/>
          <w:sz w:val="22"/>
          <w:szCs w:val="22"/>
          <w:highlight w:val="none"/>
          <w:lang w:eastAsia="zh-CN"/>
        </w:rPr>
        <w:t>；</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投标人承诺</w:t>
      </w:r>
      <w:r>
        <w:rPr>
          <w:rFonts w:hint="eastAsia" w:ascii="宋体" w:hAnsi="宋体"/>
          <w:color w:val="auto"/>
          <w:sz w:val="22"/>
          <w:szCs w:val="22"/>
          <w:highlight w:val="none"/>
          <w:lang w:eastAsia="zh-CN"/>
        </w:rPr>
        <w:t>；</w:t>
      </w:r>
    </w:p>
    <w:p>
      <w:pPr>
        <w:numPr>
          <w:ilvl w:val="0"/>
          <w:numId w:val="20"/>
        </w:numPr>
        <w:spacing w:line="360" w:lineRule="auto"/>
        <w:ind w:left="1340"/>
        <w:rPr>
          <w:rFonts w:ascii="宋体" w:hAnsi="宋体"/>
          <w:color w:val="auto"/>
          <w:sz w:val="22"/>
          <w:szCs w:val="22"/>
          <w:highlight w:val="none"/>
        </w:rPr>
      </w:pPr>
      <w:r>
        <w:rPr>
          <w:rFonts w:hint="eastAsia" w:ascii="宋体" w:hAnsi="宋体"/>
          <w:color w:val="auto"/>
          <w:sz w:val="22"/>
          <w:szCs w:val="22"/>
          <w:highlight w:val="none"/>
        </w:rPr>
        <w:t>业绩情况一览表</w:t>
      </w:r>
      <w:r>
        <w:rPr>
          <w:rFonts w:hint="eastAsia" w:ascii="宋体" w:hAnsi="宋体"/>
          <w:color w:val="auto"/>
          <w:sz w:val="22"/>
          <w:szCs w:val="22"/>
          <w:highlight w:val="none"/>
          <w:lang w:eastAsia="zh-CN"/>
        </w:rPr>
        <w:t>；</w:t>
      </w:r>
    </w:p>
    <w:p>
      <w:pPr>
        <w:numPr>
          <w:ilvl w:val="0"/>
          <w:numId w:val="20"/>
        </w:numPr>
        <w:tabs>
          <w:tab w:val="left" w:pos="1276"/>
          <w:tab w:val="left" w:pos="1418"/>
        </w:tabs>
        <w:spacing w:line="360" w:lineRule="auto"/>
        <w:ind w:left="851" w:firstLine="5"/>
        <w:rPr>
          <w:rFonts w:ascii="宋体" w:hAnsi="宋体"/>
          <w:color w:val="auto"/>
          <w:sz w:val="22"/>
          <w:szCs w:val="22"/>
          <w:highlight w:val="none"/>
        </w:rPr>
      </w:pPr>
      <w:r>
        <w:rPr>
          <w:rFonts w:hint="eastAsia" w:ascii="宋体" w:hAnsi="宋体"/>
          <w:color w:val="auto"/>
          <w:sz w:val="22"/>
          <w:szCs w:val="22"/>
          <w:highlight w:val="none"/>
        </w:rPr>
        <w:t>拟投入本项目的服务团队人员情况表格式；</w:t>
      </w:r>
    </w:p>
    <w:p>
      <w:pPr>
        <w:numPr>
          <w:ilvl w:val="0"/>
          <w:numId w:val="20"/>
        </w:numPr>
        <w:tabs>
          <w:tab w:val="left" w:pos="1276"/>
          <w:tab w:val="left" w:pos="1418"/>
        </w:tabs>
        <w:spacing w:line="360" w:lineRule="auto"/>
        <w:ind w:left="851" w:firstLine="5"/>
        <w:rPr>
          <w:rFonts w:ascii="宋体" w:hAnsi="宋体"/>
          <w:color w:val="auto"/>
          <w:sz w:val="22"/>
          <w:szCs w:val="22"/>
          <w:highlight w:val="none"/>
        </w:rPr>
      </w:pPr>
      <w:r>
        <w:rPr>
          <w:rFonts w:hint="eastAsia" w:ascii="宋体" w:hAnsi="宋体"/>
          <w:color w:val="auto"/>
          <w:sz w:val="22"/>
          <w:szCs w:val="22"/>
          <w:highlight w:val="none"/>
        </w:rPr>
        <w:t>投标方案；</w:t>
      </w:r>
    </w:p>
    <w:p>
      <w:pPr>
        <w:numPr>
          <w:ilvl w:val="0"/>
          <w:numId w:val="20"/>
        </w:numPr>
        <w:tabs>
          <w:tab w:val="left" w:pos="1276"/>
          <w:tab w:val="left" w:pos="1418"/>
        </w:tabs>
        <w:spacing w:line="360" w:lineRule="auto"/>
        <w:ind w:left="851" w:firstLine="5"/>
        <w:rPr>
          <w:rFonts w:ascii="宋体" w:hAnsi="宋体"/>
          <w:color w:val="auto"/>
          <w:sz w:val="22"/>
          <w:szCs w:val="22"/>
          <w:highlight w:val="none"/>
        </w:rPr>
      </w:pPr>
      <w:r>
        <w:rPr>
          <w:rFonts w:hint="eastAsia" w:ascii="宋体" w:hAnsi="宋体"/>
          <w:color w:val="auto"/>
          <w:sz w:val="22"/>
          <w:szCs w:val="22"/>
          <w:highlight w:val="none"/>
        </w:rPr>
        <w:t>货物说明一览表；</w:t>
      </w:r>
    </w:p>
    <w:p>
      <w:pPr>
        <w:numPr>
          <w:ilvl w:val="0"/>
          <w:numId w:val="20"/>
        </w:numPr>
        <w:tabs>
          <w:tab w:val="left" w:pos="1276"/>
          <w:tab w:val="left" w:pos="1418"/>
        </w:tabs>
        <w:spacing w:line="360" w:lineRule="auto"/>
        <w:ind w:left="851" w:firstLine="5"/>
        <w:rPr>
          <w:rFonts w:hint="eastAsia" w:ascii="宋体" w:hAnsi="宋体"/>
          <w:color w:val="auto"/>
          <w:sz w:val="22"/>
          <w:szCs w:val="22"/>
          <w:highlight w:val="none"/>
        </w:rPr>
      </w:pPr>
      <w:r>
        <w:rPr>
          <w:rFonts w:hint="eastAsia" w:ascii="宋体" w:hAnsi="宋体"/>
          <w:color w:val="auto"/>
          <w:sz w:val="22"/>
          <w:szCs w:val="22"/>
          <w:highlight w:val="none"/>
          <w:lang w:val="en-US" w:eastAsia="zh-CN"/>
        </w:rPr>
        <w:t>用户需求偏离表；</w:t>
      </w:r>
    </w:p>
    <w:p>
      <w:pPr>
        <w:numPr>
          <w:ilvl w:val="0"/>
          <w:numId w:val="20"/>
        </w:numPr>
        <w:tabs>
          <w:tab w:val="left" w:pos="1276"/>
          <w:tab w:val="left" w:pos="1418"/>
        </w:tabs>
        <w:spacing w:line="360" w:lineRule="auto"/>
        <w:ind w:left="851" w:firstLine="5"/>
        <w:rPr>
          <w:rFonts w:hint="eastAsia" w:ascii="宋体" w:hAnsi="宋体"/>
          <w:color w:val="auto"/>
          <w:sz w:val="22"/>
          <w:szCs w:val="22"/>
          <w:highlight w:val="none"/>
        </w:rPr>
      </w:pPr>
      <w:r>
        <w:rPr>
          <w:rFonts w:hint="eastAsia" w:ascii="宋体" w:hAnsi="宋体"/>
          <w:color w:val="auto"/>
          <w:sz w:val="22"/>
          <w:szCs w:val="22"/>
          <w:highlight w:val="none"/>
        </w:rPr>
        <w:t>★号条款响应表</w:t>
      </w:r>
    </w:p>
    <w:p>
      <w:pPr>
        <w:numPr>
          <w:ilvl w:val="0"/>
          <w:numId w:val="20"/>
        </w:numPr>
        <w:tabs>
          <w:tab w:val="left" w:pos="1276"/>
          <w:tab w:val="left" w:pos="1418"/>
        </w:tabs>
        <w:spacing w:line="360" w:lineRule="auto"/>
        <w:ind w:left="851" w:firstLine="5"/>
        <w:rPr>
          <w:rFonts w:hint="eastAsia" w:ascii="宋体" w:hAnsi="宋体"/>
          <w:color w:val="auto"/>
          <w:sz w:val="22"/>
          <w:szCs w:val="22"/>
          <w:highlight w:val="none"/>
        </w:rPr>
      </w:pPr>
      <w:r>
        <w:rPr>
          <w:rFonts w:hint="eastAsia" w:ascii="宋体" w:hAnsi="宋体"/>
          <w:color w:val="auto"/>
          <w:sz w:val="22"/>
          <w:szCs w:val="22"/>
          <w:highlight w:val="none"/>
        </w:rPr>
        <w:t>合同条款偏离表</w:t>
      </w:r>
    </w:p>
    <w:p>
      <w:pPr>
        <w:numPr>
          <w:ilvl w:val="0"/>
          <w:numId w:val="20"/>
        </w:numPr>
        <w:tabs>
          <w:tab w:val="left" w:pos="1276"/>
          <w:tab w:val="left" w:pos="1418"/>
        </w:tabs>
        <w:spacing w:line="360" w:lineRule="auto"/>
        <w:ind w:left="851" w:firstLine="5"/>
        <w:rPr>
          <w:rFonts w:hint="eastAsia" w:ascii="宋体" w:hAnsi="宋体"/>
          <w:color w:val="auto"/>
          <w:sz w:val="22"/>
          <w:szCs w:val="22"/>
          <w:highlight w:val="none"/>
        </w:rPr>
      </w:pPr>
      <w:r>
        <w:rPr>
          <w:rFonts w:hint="eastAsia" w:ascii="宋体" w:hAnsi="宋体"/>
          <w:color w:val="auto"/>
          <w:sz w:val="22"/>
          <w:szCs w:val="22"/>
          <w:highlight w:val="none"/>
        </w:rPr>
        <w:t>投标保证金汇入情况说明</w:t>
      </w:r>
    </w:p>
    <w:p>
      <w:pPr>
        <w:numPr>
          <w:ilvl w:val="0"/>
          <w:numId w:val="20"/>
        </w:numPr>
        <w:tabs>
          <w:tab w:val="left" w:pos="1276"/>
          <w:tab w:val="left" w:pos="1418"/>
        </w:tabs>
        <w:spacing w:line="360" w:lineRule="auto"/>
        <w:ind w:left="851" w:firstLine="5"/>
        <w:rPr>
          <w:rFonts w:hint="eastAsia" w:ascii="宋体" w:hAnsi="宋体"/>
          <w:color w:val="auto"/>
          <w:sz w:val="22"/>
          <w:szCs w:val="22"/>
          <w:highlight w:val="none"/>
        </w:rPr>
      </w:pPr>
      <w:r>
        <w:rPr>
          <w:rFonts w:hint="eastAsia" w:ascii="宋体" w:hAnsi="宋体"/>
          <w:color w:val="auto"/>
          <w:sz w:val="22"/>
          <w:szCs w:val="22"/>
          <w:highlight w:val="none"/>
        </w:rPr>
        <w:t>中标服务费承诺书</w:t>
      </w:r>
    </w:p>
    <w:p>
      <w:pPr>
        <w:numPr>
          <w:ilvl w:val="0"/>
          <w:numId w:val="20"/>
        </w:numPr>
        <w:tabs>
          <w:tab w:val="left" w:pos="1276"/>
          <w:tab w:val="left" w:pos="1418"/>
        </w:tabs>
        <w:spacing w:line="360" w:lineRule="auto"/>
        <w:ind w:left="851" w:firstLine="5"/>
        <w:rPr>
          <w:rFonts w:hint="eastAsia" w:ascii="宋体" w:hAnsi="宋体"/>
          <w:color w:val="auto"/>
          <w:sz w:val="22"/>
          <w:szCs w:val="22"/>
          <w:highlight w:val="none"/>
        </w:rPr>
      </w:pPr>
      <w:r>
        <w:rPr>
          <w:rFonts w:hint="eastAsia" w:ascii="宋体" w:hAnsi="宋体"/>
          <w:color w:val="auto"/>
          <w:sz w:val="22"/>
          <w:szCs w:val="22"/>
          <w:highlight w:val="none"/>
        </w:rPr>
        <w:t>投标人认为需加以说明的其他内容</w:t>
      </w:r>
      <w:r>
        <w:rPr>
          <w:rFonts w:hint="eastAsia" w:ascii="宋体" w:hAnsi="宋体"/>
          <w:color w:val="auto"/>
          <w:sz w:val="22"/>
          <w:szCs w:val="22"/>
          <w:highlight w:val="none"/>
          <w:lang w:eastAsia="zh-CN"/>
        </w:rPr>
        <w:t>。</w:t>
      </w:r>
    </w:p>
    <w:p>
      <w:pPr>
        <w:pStyle w:val="294"/>
        <w:numPr>
          <w:ilvl w:val="0"/>
          <w:numId w:val="17"/>
        </w:numPr>
        <w:tabs>
          <w:tab w:val="left" w:pos="567"/>
        </w:tabs>
        <w:spacing w:line="360" w:lineRule="auto"/>
        <w:ind w:left="426" w:hanging="426" w:firstLineChars="0"/>
        <w:rPr>
          <w:rFonts w:ascii="宋体" w:hAnsi="宋体" w:eastAsia="宋体"/>
          <w:b/>
          <w:bCs/>
          <w:color w:val="auto"/>
          <w:szCs w:val="21"/>
          <w:highlight w:val="none"/>
        </w:rPr>
      </w:pPr>
      <w:r>
        <w:rPr>
          <w:rFonts w:hint="eastAsia" w:ascii="宋体" w:hAnsi="宋体" w:eastAsia="宋体"/>
          <w:b/>
          <w:bCs/>
          <w:color w:val="auto"/>
          <w:szCs w:val="21"/>
          <w:highlight w:val="none"/>
        </w:rPr>
        <w:t>投标人应如实详细提供第</w:t>
      </w:r>
      <w:r>
        <w:rPr>
          <w:rFonts w:ascii="宋体" w:hAnsi="宋体" w:eastAsia="宋体"/>
          <w:b/>
          <w:bCs/>
          <w:color w:val="auto"/>
          <w:szCs w:val="21"/>
          <w:highlight w:val="none"/>
        </w:rPr>
        <w:t>11.1</w:t>
      </w:r>
      <w:r>
        <w:rPr>
          <w:rFonts w:hint="eastAsia" w:ascii="宋体" w:hAnsi="宋体" w:eastAsia="宋体"/>
          <w:b/>
          <w:bCs/>
          <w:color w:val="auto"/>
          <w:szCs w:val="21"/>
          <w:highlight w:val="none"/>
        </w:rPr>
        <w:t>款所要求的全部资料，价格部分文件必须单独装订。商务、技术部分文件不能出现投标价格，且</w:t>
      </w:r>
      <w:r>
        <w:rPr>
          <w:rFonts w:ascii="宋体" w:hAnsi="宋体" w:eastAsia="宋体"/>
          <w:b/>
          <w:bCs/>
          <w:color w:val="auto"/>
          <w:szCs w:val="21"/>
          <w:highlight w:val="none"/>
        </w:rPr>
        <w:t>必须编制目录及注明页码。</w:t>
      </w:r>
    </w:p>
    <w:p>
      <w:pPr>
        <w:pStyle w:val="294"/>
        <w:numPr>
          <w:ilvl w:val="0"/>
          <w:numId w:val="17"/>
        </w:numPr>
        <w:tabs>
          <w:tab w:val="left" w:pos="567"/>
        </w:tabs>
        <w:spacing w:line="360" w:lineRule="auto"/>
        <w:ind w:left="426" w:hanging="426" w:firstLineChars="0"/>
        <w:rPr>
          <w:rFonts w:ascii="宋体" w:hAnsi="宋体" w:eastAsia="宋体"/>
          <w:color w:val="auto"/>
          <w:sz w:val="22"/>
          <w:szCs w:val="22"/>
          <w:highlight w:val="none"/>
        </w:rPr>
      </w:pPr>
      <w:r>
        <w:rPr>
          <w:rFonts w:ascii="宋体" w:hAnsi="宋体" w:eastAsia="宋体"/>
          <w:color w:val="auto"/>
          <w:sz w:val="22"/>
          <w:szCs w:val="22"/>
          <w:highlight w:val="none"/>
        </w:rPr>
        <w:t>投标人编制投标文件必须包括但不限于上述内容。</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58" w:name="_Toc61529823"/>
      <w:bookmarkStart w:id="59" w:name="_Toc441844066"/>
      <w:r>
        <w:rPr>
          <w:rFonts w:ascii="宋体" w:hAnsi="宋体"/>
          <w:b/>
          <w:bCs/>
          <w:color w:val="auto"/>
          <w:sz w:val="22"/>
          <w:szCs w:val="22"/>
          <w:highlight w:val="none"/>
        </w:rPr>
        <w:t>投标文件格式</w:t>
      </w:r>
      <w:bookmarkEnd w:id="58"/>
      <w:bookmarkEnd w:id="59"/>
    </w:p>
    <w:p>
      <w:pPr>
        <w:pStyle w:val="99"/>
        <w:numPr>
          <w:ilvl w:val="0"/>
          <w:numId w:val="21"/>
        </w:numPr>
        <w:spacing w:line="360" w:lineRule="auto"/>
        <w:ind w:left="567" w:hanging="567" w:firstLineChars="0"/>
        <w:rPr>
          <w:rFonts w:ascii="宋体" w:hAnsi="宋体" w:eastAsia="宋体"/>
          <w:color w:val="auto"/>
          <w:kern w:val="0"/>
          <w:sz w:val="22"/>
          <w:szCs w:val="22"/>
          <w:highlight w:val="none"/>
          <w:lang w:val="zh-CN"/>
        </w:rPr>
      </w:pPr>
      <w:r>
        <w:rPr>
          <w:rFonts w:ascii="宋体" w:hAnsi="宋体" w:eastAsia="宋体"/>
          <w:color w:val="auto"/>
          <w:kern w:val="0"/>
          <w:sz w:val="22"/>
          <w:szCs w:val="22"/>
          <w:highlight w:val="none"/>
          <w:lang w:val="zh-CN"/>
        </w:rPr>
        <w:t>投标人提交的投标文件应当使用招标文件所提供的投标文件全部格式（表格可以按同样格式扩展）。</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60" w:name="_Toc61529824"/>
      <w:bookmarkStart w:id="61" w:name="_Toc441844067"/>
      <w:r>
        <w:rPr>
          <w:rFonts w:ascii="宋体" w:hAnsi="宋体"/>
          <w:b/>
          <w:bCs/>
          <w:color w:val="auto"/>
          <w:sz w:val="22"/>
          <w:szCs w:val="22"/>
          <w:highlight w:val="none"/>
        </w:rPr>
        <w:t>投标文件的份数和签署</w:t>
      </w:r>
      <w:bookmarkEnd w:id="60"/>
      <w:bookmarkEnd w:id="61"/>
    </w:p>
    <w:p>
      <w:pPr>
        <w:pStyle w:val="99"/>
        <w:numPr>
          <w:ilvl w:val="0"/>
          <w:numId w:val="22"/>
        </w:numPr>
        <w:spacing w:line="360" w:lineRule="auto"/>
        <w:ind w:left="567" w:hanging="567" w:firstLineChars="0"/>
        <w:rPr>
          <w:rFonts w:ascii="宋体" w:hAnsi="宋体" w:eastAsia="宋体"/>
          <w:b/>
          <w:color w:val="auto"/>
          <w:kern w:val="0"/>
          <w:sz w:val="22"/>
          <w:szCs w:val="22"/>
          <w:highlight w:val="none"/>
          <w:lang w:val="zh-CN"/>
        </w:rPr>
      </w:pPr>
      <w:r>
        <w:rPr>
          <w:rFonts w:ascii="宋体" w:hAnsi="宋体" w:eastAsia="宋体"/>
          <w:b/>
          <w:color w:val="auto"/>
          <w:kern w:val="0"/>
          <w:sz w:val="22"/>
          <w:szCs w:val="22"/>
          <w:highlight w:val="none"/>
          <w:lang w:val="zh-CN"/>
        </w:rPr>
        <w:t>投标人应分包组提交</w:t>
      </w:r>
      <w:r>
        <w:rPr>
          <w:rFonts w:ascii="宋体" w:hAnsi="宋体" w:eastAsia="宋体"/>
          <w:b/>
          <w:color w:val="auto"/>
          <w:kern w:val="0"/>
          <w:sz w:val="22"/>
          <w:szCs w:val="22"/>
          <w:highlight w:val="none"/>
          <w:u w:val="single"/>
          <w:lang w:val="zh-CN"/>
        </w:rPr>
        <w:t xml:space="preserve"> 一 </w:t>
      </w:r>
      <w:r>
        <w:rPr>
          <w:rFonts w:ascii="宋体" w:hAnsi="宋体" w:eastAsia="宋体"/>
          <w:b/>
          <w:color w:val="auto"/>
          <w:kern w:val="0"/>
          <w:sz w:val="22"/>
          <w:szCs w:val="22"/>
          <w:highlight w:val="none"/>
          <w:lang w:val="zh-CN"/>
        </w:rPr>
        <w:t xml:space="preserve">套正本（包括价格部分文件、商务部分文件和技术部分文件，商务与技术可装订成册也可分开装订）、 </w:t>
      </w:r>
      <w:r>
        <w:rPr>
          <w:rFonts w:ascii="宋体" w:hAnsi="宋体" w:eastAsia="宋体"/>
          <w:b/>
          <w:color w:val="auto"/>
          <w:kern w:val="0"/>
          <w:sz w:val="22"/>
          <w:szCs w:val="22"/>
          <w:highlight w:val="none"/>
          <w:u w:val="single"/>
          <w:lang w:val="zh-CN"/>
        </w:rPr>
        <w:t xml:space="preserve"> </w:t>
      </w:r>
      <w:r>
        <w:rPr>
          <w:rFonts w:hint="eastAsia" w:ascii="宋体" w:hAnsi="宋体" w:eastAsia="宋体"/>
          <w:b/>
          <w:color w:val="auto"/>
          <w:kern w:val="0"/>
          <w:sz w:val="22"/>
          <w:szCs w:val="22"/>
          <w:highlight w:val="none"/>
          <w:u w:val="single"/>
          <w:lang w:val="zh-CN"/>
        </w:rPr>
        <w:t>伍</w:t>
      </w:r>
      <w:r>
        <w:rPr>
          <w:rFonts w:ascii="宋体" w:hAnsi="宋体" w:eastAsia="宋体"/>
          <w:b/>
          <w:color w:val="auto"/>
          <w:kern w:val="0"/>
          <w:sz w:val="22"/>
          <w:szCs w:val="22"/>
          <w:highlight w:val="none"/>
          <w:u w:val="single"/>
          <w:lang w:val="zh-CN"/>
        </w:rPr>
        <w:t xml:space="preserve"> </w:t>
      </w:r>
      <w:r>
        <w:rPr>
          <w:rFonts w:ascii="宋体" w:hAnsi="宋体" w:eastAsia="宋体"/>
          <w:b/>
          <w:color w:val="auto"/>
          <w:kern w:val="0"/>
          <w:sz w:val="22"/>
          <w:szCs w:val="22"/>
          <w:highlight w:val="none"/>
          <w:lang w:val="zh-CN"/>
        </w:rPr>
        <w:t>套副本（包括价格部分文件、商务部分文件和技术部分文件）和一份唱标信封的投标文件及投标文件电子版 1份，限光盘或U盘，不留密码，无病毒，内容应与投标人打印产生的纸质投标文件内容一致，如有不同，以纸质投标文件为准。</w:t>
      </w:r>
    </w:p>
    <w:p>
      <w:pPr>
        <w:pStyle w:val="99"/>
        <w:numPr>
          <w:ilvl w:val="0"/>
          <w:numId w:val="22"/>
        </w:numPr>
        <w:spacing w:line="360" w:lineRule="auto"/>
        <w:ind w:left="567" w:hanging="567" w:firstLineChars="0"/>
        <w:rPr>
          <w:rFonts w:ascii="宋体" w:hAnsi="宋体" w:eastAsia="宋体"/>
          <w:color w:val="auto"/>
          <w:kern w:val="0"/>
          <w:sz w:val="22"/>
          <w:szCs w:val="22"/>
          <w:highlight w:val="none"/>
          <w:lang w:val="zh-CN"/>
        </w:rPr>
      </w:pPr>
      <w:r>
        <w:rPr>
          <w:rFonts w:ascii="宋体" w:hAnsi="宋体" w:eastAsia="宋体"/>
          <w:color w:val="auto"/>
          <w:kern w:val="0"/>
          <w:sz w:val="22"/>
          <w:szCs w:val="22"/>
          <w:highlight w:val="none"/>
          <w:lang w:val="zh-CN"/>
        </w:rPr>
        <w:t>投标文件正本均须用不褪色墨水书写或打印，投标文件副本的所有资料都可以用投标文件的正本复印，并应在投标文件封面的右上角清楚地注明“正本”或“副本”。正本和副本如有不一致之处，以正本为准。</w:t>
      </w:r>
    </w:p>
    <w:p>
      <w:pPr>
        <w:pStyle w:val="99"/>
        <w:numPr>
          <w:ilvl w:val="0"/>
          <w:numId w:val="22"/>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投标文件正本主要内容（招标文件格式中要求法</w:t>
      </w:r>
      <w:r>
        <w:rPr>
          <w:rFonts w:hint="eastAsia" w:ascii="宋体" w:eastAsia="宋体"/>
          <w:color w:val="auto"/>
          <w:sz w:val="22"/>
          <w:szCs w:val="22"/>
          <w:highlight w:val="none"/>
        </w:rPr>
        <w:t>定</w:t>
      </w:r>
      <w:r>
        <w:rPr>
          <w:rFonts w:ascii="宋体" w:eastAsia="宋体"/>
          <w:color w:val="auto"/>
          <w:sz w:val="22"/>
          <w:szCs w:val="22"/>
          <w:highlight w:val="none"/>
        </w:rPr>
        <w:t>代表</w:t>
      </w:r>
      <w:r>
        <w:rPr>
          <w:rFonts w:hint="eastAsia" w:ascii="宋体" w:eastAsia="宋体"/>
          <w:color w:val="auto"/>
          <w:sz w:val="22"/>
          <w:szCs w:val="22"/>
          <w:highlight w:val="none"/>
        </w:rPr>
        <w:t>人</w:t>
      </w:r>
      <w:r>
        <w:rPr>
          <w:rFonts w:ascii="宋体" w:eastAsia="宋体"/>
          <w:color w:val="auto"/>
          <w:sz w:val="22"/>
          <w:szCs w:val="22"/>
          <w:highlight w:val="none"/>
        </w:rPr>
        <w:t>或授权委托人签字的内容和</w:t>
      </w:r>
      <w:r>
        <w:rPr>
          <w:rFonts w:hint="eastAsia" w:ascii="宋体" w:eastAsia="宋体"/>
          <w:color w:val="auto"/>
          <w:sz w:val="22"/>
          <w:szCs w:val="22"/>
          <w:highlight w:val="none"/>
        </w:rPr>
        <w:t>要求</w:t>
      </w:r>
      <w:r>
        <w:rPr>
          <w:rFonts w:ascii="宋体" w:eastAsia="宋体"/>
          <w:color w:val="auto"/>
          <w:sz w:val="22"/>
          <w:szCs w:val="22"/>
          <w:highlight w:val="none"/>
        </w:rPr>
        <w:t>加盖投标单位公章</w:t>
      </w:r>
      <w:r>
        <w:rPr>
          <w:rFonts w:hint="eastAsia" w:ascii="宋体" w:eastAsia="宋体"/>
          <w:color w:val="auto"/>
          <w:sz w:val="22"/>
          <w:szCs w:val="22"/>
          <w:highlight w:val="none"/>
        </w:rPr>
        <w:t>的内容</w:t>
      </w:r>
      <w:r>
        <w:rPr>
          <w:rFonts w:ascii="宋体" w:eastAsia="宋体"/>
          <w:color w:val="auto"/>
          <w:sz w:val="22"/>
          <w:szCs w:val="22"/>
          <w:highlight w:val="none"/>
        </w:rPr>
        <w:t>）应由投标单位的法</w:t>
      </w:r>
      <w:r>
        <w:rPr>
          <w:rFonts w:hint="eastAsia" w:ascii="宋体" w:eastAsia="宋体"/>
          <w:color w:val="auto"/>
          <w:sz w:val="22"/>
          <w:szCs w:val="22"/>
          <w:highlight w:val="none"/>
        </w:rPr>
        <w:t>定</w:t>
      </w:r>
      <w:r>
        <w:rPr>
          <w:rFonts w:ascii="宋体" w:eastAsia="宋体"/>
          <w:color w:val="auto"/>
          <w:sz w:val="22"/>
          <w:szCs w:val="22"/>
          <w:highlight w:val="none"/>
        </w:rPr>
        <w:t>代表</w:t>
      </w:r>
      <w:r>
        <w:rPr>
          <w:rFonts w:hint="eastAsia" w:ascii="宋体" w:eastAsia="宋体"/>
          <w:color w:val="auto"/>
          <w:sz w:val="22"/>
          <w:szCs w:val="22"/>
          <w:highlight w:val="none"/>
        </w:rPr>
        <w:t>人</w:t>
      </w:r>
      <w:r>
        <w:rPr>
          <w:rFonts w:ascii="宋体" w:eastAsia="宋体"/>
          <w:color w:val="auto"/>
          <w:sz w:val="22"/>
          <w:szCs w:val="22"/>
          <w:highlight w:val="none"/>
        </w:rPr>
        <w:t>或授权委托人签字</w:t>
      </w:r>
      <w:r>
        <w:rPr>
          <w:rFonts w:hint="eastAsia" w:ascii="宋体" w:eastAsia="宋体"/>
          <w:color w:val="auto"/>
          <w:sz w:val="22"/>
          <w:szCs w:val="22"/>
          <w:highlight w:val="none"/>
        </w:rPr>
        <w:t>（或盖私章）</w:t>
      </w:r>
      <w:r>
        <w:rPr>
          <w:rFonts w:ascii="宋体" w:eastAsia="宋体"/>
          <w:color w:val="auto"/>
          <w:sz w:val="22"/>
          <w:szCs w:val="22"/>
          <w:highlight w:val="none"/>
        </w:rPr>
        <w:t>和加盖投标</w:t>
      </w:r>
      <w:r>
        <w:rPr>
          <w:rFonts w:hint="eastAsia" w:ascii="宋体" w:eastAsia="宋体"/>
          <w:color w:val="auto"/>
          <w:sz w:val="22"/>
          <w:szCs w:val="22"/>
          <w:highlight w:val="none"/>
        </w:rPr>
        <w:t>人</w:t>
      </w:r>
      <w:r>
        <w:rPr>
          <w:rFonts w:ascii="宋体" w:eastAsia="宋体"/>
          <w:color w:val="auto"/>
          <w:sz w:val="22"/>
          <w:szCs w:val="22"/>
          <w:highlight w:val="none"/>
        </w:rPr>
        <w:t>公章，否则该投标文件将被视为无效文件。</w:t>
      </w:r>
    </w:p>
    <w:p>
      <w:pPr>
        <w:pStyle w:val="99"/>
        <w:numPr>
          <w:ilvl w:val="0"/>
          <w:numId w:val="22"/>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除投标人对错误处修改外，全套投标文件应无涂改或行间插字和增删。如有修改，修改处应由投标人加盖投标人的公章或由授权委托人签字。</w:t>
      </w:r>
    </w:p>
    <w:p>
      <w:pPr>
        <w:pStyle w:val="99"/>
        <w:numPr>
          <w:ilvl w:val="0"/>
          <w:numId w:val="22"/>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传真或电传的投标文件将被拒绝。</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62" w:name="_Toc441844068"/>
      <w:bookmarkStart w:id="63" w:name="_Toc61529825"/>
      <w:r>
        <w:rPr>
          <w:rFonts w:ascii="宋体" w:hAnsi="宋体"/>
          <w:b/>
          <w:bCs/>
          <w:color w:val="auto"/>
          <w:sz w:val="22"/>
          <w:szCs w:val="22"/>
          <w:highlight w:val="none"/>
        </w:rPr>
        <w:t>投标报价和货币</w:t>
      </w:r>
      <w:bookmarkEnd w:id="62"/>
      <w:bookmarkEnd w:id="63"/>
    </w:p>
    <w:p>
      <w:pPr>
        <w:pStyle w:val="116"/>
        <w:numPr>
          <w:ilvl w:val="0"/>
          <w:numId w:val="23"/>
        </w:numPr>
        <w:spacing w:line="360" w:lineRule="auto"/>
        <w:ind w:left="567" w:hanging="567" w:firstLineChars="0"/>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投标人应按招标文件第二章中</w:t>
      </w:r>
      <w:r>
        <w:rPr>
          <w:rFonts w:hint="eastAsia" w:ascii="宋体" w:hAnsi="宋体" w:eastAsia="宋体" w:cs="宋体"/>
          <w:b/>
          <w:bCs/>
          <w:color w:val="auto"/>
          <w:sz w:val="22"/>
          <w:szCs w:val="22"/>
          <w:highlight w:val="none"/>
          <w:u w:val="single"/>
          <w:lang w:val="zh-CN"/>
        </w:rPr>
        <w:t>投标人须知前附表</w:t>
      </w:r>
      <w:r>
        <w:rPr>
          <w:rFonts w:hint="eastAsia" w:ascii="宋体" w:hAnsi="宋体" w:eastAsia="宋体" w:cs="宋体"/>
          <w:color w:val="auto"/>
          <w:sz w:val="22"/>
          <w:szCs w:val="22"/>
          <w:highlight w:val="none"/>
          <w:lang w:val="zh-CN"/>
        </w:rPr>
        <w:t>规定的报价要求报价。</w:t>
      </w:r>
    </w:p>
    <w:p>
      <w:pPr>
        <w:pStyle w:val="116"/>
        <w:numPr>
          <w:ilvl w:val="0"/>
          <w:numId w:val="23"/>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lang w:val="zh-CN"/>
        </w:rPr>
        <w:t>投标人必须以人民币报价，以其它货币标价的投标将予以拒绝。</w:t>
      </w:r>
      <w:r>
        <w:rPr>
          <w:rFonts w:hint="eastAsia" w:ascii="宋体" w:hAnsi="宋体"/>
          <w:color w:val="auto"/>
          <w:sz w:val="22"/>
          <w:szCs w:val="22"/>
          <w:highlight w:val="none"/>
          <w:lang w:val="zh-CN"/>
        </w:rPr>
        <w:t>投标文件中投标报价一览表内容与投标文件中相应内容不一致的，以投标报价一览表为准；大写金额和小写金额不一致的，以大写金额为准；单价金额小数点或者百分比有明显错位的，以投标报价一览表的总价为准，并修改单价；总价金额与按单价汇总金额不一致的，以单价金额计算结果为准。同时出现两种以上不一致的，按照前款规定的顺序修正。修正后的报价经投标人确认后产生约束力，投标人不确认的，其投标无效。</w:t>
      </w:r>
    </w:p>
    <w:p>
      <w:pPr>
        <w:pStyle w:val="116"/>
        <w:numPr>
          <w:ilvl w:val="0"/>
          <w:numId w:val="23"/>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投标人所报的投标价在合同执行期间是固定不变的，不得以任何理由予以变更。投标价</w:t>
      </w:r>
      <w:r>
        <w:rPr>
          <w:rFonts w:ascii="宋体" w:hAnsi="宋体"/>
          <w:color w:val="auto"/>
          <w:sz w:val="22"/>
          <w:szCs w:val="22"/>
          <w:highlight w:val="none"/>
          <w:lang w:val="zh-CN"/>
        </w:rPr>
        <w:t>不是唯一的或不是固定不变</w:t>
      </w:r>
      <w:r>
        <w:rPr>
          <w:rFonts w:ascii="宋体" w:hAnsi="宋体"/>
          <w:color w:val="auto"/>
          <w:sz w:val="22"/>
          <w:szCs w:val="22"/>
          <w:highlight w:val="none"/>
        </w:rPr>
        <w:t>的投标文件将作为非实质性响应投标而予以拒绝。</w:t>
      </w:r>
    </w:p>
    <w:p>
      <w:pPr>
        <w:pStyle w:val="116"/>
        <w:numPr>
          <w:ilvl w:val="0"/>
          <w:numId w:val="23"/>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国产的产品及其有关服务的报价应包括要向中华人民共和国政府缴纳的增值税和其他税。</w:t>
      </w:r>
    </w:p>
    <w:p>
      <w:pPr>
        <w:pStyle w:val="116"/>
        <w:numPr>
          <w:ilvl w:val="0"/>
          <w:numId w:val="23"/>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在中华人民共和国境内提供的进口产品及其有关服务的报价应包括要向中华人民共和国政府缴纳的关税、增值税和其他税。</w:t>
      </w:r>
    </w:p>
    <w:p>
      <w:pPr>
        <w:pStyle w:val="116"/>
        <w:numPr>
          <w:ilvl w:val="0"/>
          <w:numId w:val="23"/>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如果投标人对于招标文件或答疑文件中为满足技术要求中所提供的货物或服务有未报价或漏报、错报、缺报等情况，可以视其为投标人予以</w:t>
      </w:r>
      <w:r>
        <w:rPr>
          <w:rFonts w:hint="eastAsia" w:ascii="宋体" w:hAnsi="宋体"/>
          <w:color w:val="auto"/>
          <w:sz w:val="22"/>
          <w:szCs w:val="22"/>
          <w:highlight w:val="none"/>
        </w:rPr>
        <w:t>招标</w:t>
      </w:r>
      <w:r>
        <w:rPr>
          <w:rFonts w:ascii="宋体" w:hAnsi="宋体"/>
          <w:color w:val="auto"/>
          <w:sz w:val="22"/>
          <w:szCs w:val="22"/>
          <w:highlight w:val="none"/>
        </w:rPr>
        <w:t>人的投标优惠报价，中标后不予调整。如果投标人不接受对其错误的更正，其投标将被拒绝。</w:t>
      </w:r>
    </w:p>
    <w:p>
      <w:pPr>
        <w:pStyle w:val="294"/>
        <w:numPr>
          <w:ilvl w:val="0"/>
          <w:numId w:val="4"/>
        </w:numPr>
        <w:spacing w:line="360" w:lineRule="auto"/>
        <w:ind w:left="0" w:firstLine="0" w:firstLineChars="0"/>
        <w:outlineLvl w:val="2"/>
        <w:rPr>
          <w:rFonts w:ascii="宋体" w:hAnsi="宋体"/>
          <w:b/>
          <w:color w:val="auto"/>
          <w:sz w:val="22"/>
          <w:szCs w:val="22"/>
          <w:highlight w:val="none"/>
        </w:rPr>
      </w:pPr>
      <w:bookmarkStart w:id="64" w:name="_Toc46502753"/>
      <w:bookmarkEnd w:id="64"/>
      <w:bookmarkStart w:id="65" w:name="_Toc46502754"/>
      <w:bookmarkEnd w:id="65"/>
      <w:bookmarkStart w:id="66" w:name="_Toc46502756"/>
      <w:bookmarkEnd w:id="66"/>
      <w:bookmarkStart w:id="67" w:name="_Toc46502757"/>
      <w:bookmarkEnd w:id="67"/>
      <w:bookmarkStart w:id="68" w:name="_Toc46502755"/>
      <w:bookmarkEnd w:id="68"/>
      <w:bookmarkStart w:id="69" w:name="_Toc521019318"/>
      <w:bookmarkEnd w:id="69"/>
      <w:bookmarkStart w:id="70" w:name="_Toc46502758"/>
      <w:bookmarkEnd w:id="70"/>
      <w:bookmarkStart w:id="71" w:name="_Toc441844070"/>
      <w:bookmarkStart w:id="72" w:name="_Toc61529826"/>
      <w:r>
        <w:rPr>
          <w:rFonts w:ascii="宋体" w:hAnsi="宋体"/>
          <w:b/>
          <w:bCs/>
          <w:color w:val="auto"/>
          <w:sz w:val="22"/>
          <w:szCs w:val="22"/>
          <w:highlight w:val="none"/>
        </w:rPr>
        <w:t>证明</w:t>
      </w:r>
      <w:r>
        <w:rPr>
          <w:rFonts w:hint="eastAsia" w:ascii="宋体" w:hAnsi="宋体"/>
          <w:b/>
          <w:bCs/>
          <w:color w:val="auto"/>
          <w:sz w:val="22"/>
          <w:szCs w:val="22"/>
          <w:highlight w:val="none"/>
        </w:rPr>
        <w:t>货物和服务</w:t>
      </w:r>
      <w:r>
        <w:rPr>
          <w:rFonts w:ascii="宋体" w:hAnsi="宋体"/>
          <w:b/>
          <w:bCs/>
          <w:color w:val="auto"/>
          <w:sz w:val="22"/>
          <w:szCs w:val="22"/>
          <w:highlight w:val="none"/>
        </w:rPr>
        <w:t>的合格性和符合招标文件规定的文件</w:t>
      </w:r>
      <w:bookmarkEnd w:id="71"/>
      <w:bookmarkEnd w:id="72"/>
    </w:p>
    <w:p>
      <w:pPr>
        <w:pStyle w:val="116"/>
        <w:numPr>
          <w:ilvl w:val="0"/>
          <w:numId w:val="24"/>
        </w:numPr>
        <w:spacing w:line="360" w:lineRule="auto"/>
        <w:ind w:firstLineChars="0"/>
        <w:rPr>
          <w:rFonts w:ascii="宋体" w:hAnsi="宋体" w:eastAsia="宋体" w:cs="Arial"/>
          <w:color w:val="auto"/>
          <w:sz w:val="22"/>
          <w:szCs w:val="22"/>
          <w:highlight w:val="none"/>
          <w:lang w:val="zh-CN"/>
        </w:rPr>
      </w:pPr>
      <w:r>
        <w:rPr>
          <w:rFonts w:ascii="宋体" w:hAnsi="宋体" w:eastAsia="宋体" w:cs="Arial"/>
          <w:color w:val="auto"/>
          <w:sz w:val="22"/>
          <w:szCs w:val="22"/>
          <w:highlight w:val="none"/>
          <w:lang w:val="zh-CN"/>
        </w:rPr>
        <w:t>投标人应提交证明文件证明其拟供的合同项下的货物和服务的合格性符合招标文件规定。该证明文件作为投标文件的一部分。</w:t>
      </w:r>
    </w:p>
    <w:p>
      <w:pPr>
        <w:pStyle w:val="116"/>
        <w:numPr>
          <w:ilvl w:val="0"/>
          <w:numId w:val="24"/>
        </w:numPr>
        <w:spacing w:line="360" w:lineRule="auto"/>
        <w:ind w:firstLineChars="0"/>
        <w:rPr>
          <w:rFonts w:ascii="宋体" w:hAnsi="宋体" w:eastAsia="宋体" w:cs="Arial"/>
          <w:color w:val="auto"/>
          <w:sz w:val="22"/>
          <w:szCs w:val="22"/>
          <w:highlight w:val="none"/>
          <w:lang w:val="zh-CN"/>
        </w:rPr>
      </w:pPr>
      <w:r>
        <w:rPr>
          <w:rFonts w:hint="eastAsia" w:ascii="宋体" w:hAnsi="宋体" w:eastAsia="宋体" w:cs="Arial"/>
          <w:color w:val="auto"/>
          <w:sz w:val="22"/>
          <w:szCs w:val="22"/>
          <w:highlight w:val="none"/>
          <w:lang w:val="zh-CN"/>
        </w:rPr>
        <w:t>证明货物和服务与招标文件的要求相一致的文件，可以是文字资料、图纸和数据。</w:t>
      </w:r>
    </w:p>
    <w:p>
      <w:pPr>
        <w:pStyle w:val="116"/>
        <w:numPr>
          <w:ilvl w:val="0"/>
          <w:numId w:val="24"/>
        </w:numPr>
        <w:spacing w:line="360" w:lineRule="auto"/>
        <w:ind w:firstLineChars="0"/>
        <w:rPr>
          <w:rFonts w:ascii="宋体" w:hAnsi="宋体" w:eastAsia="宋体" w:cs="Arial"/>
          <w:color w:val="auto"/>
          <w:sz w:val="22"/>
          <w:szCs w:val="22"/>
          <w:highlight w:val="none"/>
          <w:lang w:val="zh-CN"/>
        </w:rPr>
      </w:pPr>
      <w:r>
        <w:rPr>
          <w:rFonts w:hint="eastAsia" w:ascii="宋体" w:hAnsi="宋体" w:eastAsia="宋体" w:cs="Arial"/>
          <w:b/>
          <w:bCs/>
          <w:color w:val="auto"/>
          <w:sz w:val="22"/>
          <w:szCs w:val="22"/>
          <w:highlight w:val="none"/>
          <w:lang w:val="zh-CN"/>
        </w:rPr>
        <w:t>为说明第</w:t>
      </w:r>
      <w:r>
        <w:rPr>
          <w:rFonts w:ascii="宋体" w:hAnsi="宋体" w:eastAsia="宋体" w:cs="Arial"/>
          <w:b/>
          <w:bCs/>
          <w:color w:val="auto"/>
          <w:sz w:val="22"/>
          <w:szCs w:val="22"/>
          <w:highlight w:val="none"/>
          <w:lang w:val="zh-CN"/>
        </w:rPr>
        <w:t>15.2</w:t>
      </w:r>
      <w:r>
        <w:rPr>
          <w:rFonts w:hint="eastAsia" w:ascii="宋体" w:hAnsi="宋体" w:eastAsia="宋体" w:cs="Arial"/>
          <w:b/>
          <w:bCs/>
          <w:color w:val="auto"/>
          <w:sz w:val="22"/>
          <w:szCs w:val="22"/>
          <w:highlight w:val="none"/>
          <w:lang w:val="zh-CN"/>
        </w:rPr>
        <w:t>款的规定，投标人应注意本招标文件在《用户需求书》中对服务要求所说明只是概括性的，不能理解为所需要的全部服务的要求，投标人应按国家、行业相关技术标准、规范和以往的服务经验，合格优质的完成采购内容和包含的全部服务。凡标有</w:t>
      </w:r>
      <w:r>
        <w:rPr>
          <w:rFonts w:ascii="宋体" w:hAnsi="宋体" w:eastAsia="宋体" w:cs="Arial"/>
          <w:b/>
          <w:bCs/>
          <w:color w:val="auto"/>
          <w:sz w:val="22"/>
          <w:szCs w:val="22"/>
          <w:highlight w:val="none"/>
          <w:lang w:val="zh-CN"/>
        </w:rPr>
        <w:t>“</w:t>
      </w:r>
      <w:r>
        <w:rPr>
          <w:rFonts w:hint="eastAsia" w:ascii="宋体" w:hAnsi="宋体" w:eastAsia="宋体" w:cs="Arial"/>
          <w:b/>
          <w:bCs/>
          <w:color w:val="auto"/>
          <w:sz w:val="22"/>
          <w:szCs w:val="22"/>
          <w:highlight w:val="none"/>
          <w:lang w:val="zh-CN"/>
        </w:rPr>
        <w:t>★</w:t>
      </w:r>
      <w:r>
        <w:rPr>
          <w:rFonts w:ascii="宋体" w:hAnsi="宋体" w:eastAsia="宋体" w:cs="Arial"/>
          <w:b/>
          <w:bCs/>
          <w:color w:val="auto"/>
          <w:sz w:val="22"/>
          <w:szCs w:val="22"/>
          <w:highlight w:val="none"/>
          <w:lang w:val="zh-CN"/>
        </w:rPr>
        <w:t>”</w:t>
      </w:r>
      <w:r>
        <w:rPr>
          <w:rFonts w:hint="eastAsia" w:ascii="宋体" w:hAnsi="宋体" w:eastAsia="宋体" w:cs="Arial"/>
          <w:b/>
          <w:bCs/>
          <w:color w:val="auto"/>
          <w:sz w:val="22"/>
          <w:szCs w:val="22"/>
          <w:highlight w:val="none"/>
          <w:lang w:val="zh-CN"/>
        </w:rPr>
        <w:t>的地方均被视为重要的技术要求或商务要求。投标人要特别加以注意，必须对此回答并完全满足这些要求，否则若有一项带</w:t>
      </w:r>
      <w:r>
        <w:rPr>
          <w:rFonts w:ascii="宋体" w:hAnsi="宋体" w:eastAsia="宋体" w:cs="Arial"/>
          <w:b/>
          <w:bCs/>
          <w:color w:val="auto"/>
          <w:sz w:val="22"/>
          <w:szCs w:val="22"/>
          <w:highlight w:val="none"/>
          <w:lang w:val="zh-CN"/>
        </w:rPr>
        <w:t>“</w:t>
      </w:r>
      <w:bookmarkStart w:id="73" w:name="_Hlk61525924"/>
      <w:r>
        <w:rPr>
          <w:rFonts w:hint="eastAsia" w:ascii="宋体" w:hAnsi="宋体" w:eastAsia="宋体" w:cs="Arial"/>
          <w:b/>
          <w:bCs/>
          <w:color w:val="auto"/>
          <w:sz w:val="22"/>
          <w:szCs w:val="22"/>
          <w:highlight w:val="none"/>
          <w:lang w:val="zh-CN"/>
        </w:rPr>
        <w:t>★</w:t>
      </w:r>
      <w:bookmarkEnd w:id="73"/>
      <w:r>
        <w:rPr>
          <w:rFonts w:ascii="宋体" w:hAnsi="宋体" w:eastAsia="宋体" w:cs="Arial"/>
          <w:b/>
          <w:bCs/>
          <w:color w:val="auto"/>
          <w:sz w:val="22"/>
          <w:szCs w:val="22"/>
          <w:highlight w:val="none"/>
          <w:lang w:val="zh-CN"/>
        </w:rPr>
        <w:t>”</w:t>
      </w:r>
      <w:r>
        <w:rPr>
          <w:rFonts w:hint="eastAsia" w:ascii="宋体" w:hAnsi="宋体" w:eastAsia="宋体" w:cs="Arial"/>
          <w:b/>
          <w:bCs/>
          <w:color w:val="auto"/>
          <w:sz w:val="22"/>
          <w:szCs w:val="22"/>
          <w:highlight w:val="none"/>
          <w:lang w:val="zh-CN"/>
        </w:rPr>
        <w:t>的条款未响应或不满足，将按无效投标处理</w:t>
      </w:r>
      <w:r>
        <w:rPr>
          <w:rFonts w:hint="eastAsia" w:ascii="宋体" w:hAnsi="宋体" w:eastAsia="宋体" w:cs="Arial"/>
          <w:color w:val="auto"/>
          <w:sz w:val="22"/>
          <w:szCs w:val="22"/>
          <w:highlight w:val="none"/>
          <w:lang w:val="zh-CN"/>
        </w:rPr>
        <w:t>。</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74" w:name="_Toc61529827"/>
      <w:bookmarkStart w:id="75" w:name="_Toc441844071"/>
      <w:r>
        <w:rPr>
          <w:rFonts w:ascii="宋体" w:hAnsi="宋体"/>
          <w:b/>
          <w:bCs/>
          <w:color w:val="auto"/>
          <w:sz w:val="22"/>
          <w:szCs w:val="22"/>
          <w:highlight w:val="none"/>
        </w:rPr>
        <w:t>投标保证金</w:t>
      </w:r>
      <w:bookmarkEnd w:id="74"/>
      <w:bookmarkEnd w:id="75"/>
    </w:p>
    <w:p>
      <w:pPr>
        <w:pStyle w:val="116"/>
        <w:numPr>
          <w:ilvl w:val="0"/>
          <w:numId w:val="25"/>
        </w:numPr>
        <w:adjustRightInd w:val="0"/>
        <w:snapToGrid w:val="0"/>
        <w:spacing w:line="360" w:lineRule="auto"/>
        <w:ind w:left="567" w:hanging="567" w:firstLineChars="0"/>
        <w:jc w:val="left"/>
        <w:rPr>
          <w:rFonts w:ascii="宋体" w:hAnsi="宋体"/>
          <w:color w:val="auto"/>
          <w:kern w:val="0"/>
          <w:sz w:val="22"/>
          <w:szCs w:val="22"/>
          <w:highlight w:val="none"/>
        </w:rPr>
      </w:pPr>
      <w:r>
        <w:rPr>
          <w:rFonts w:hint="eastAsia" w:ascii="宋体" w:hAnsi="宋体"/>
          <w:color w:val="auto"/>
          <w:kern w:val="0"/>
          <w:sz w:val="22"/>
          <w:szCs w:val="22"/>
          <w:highlight w:val="none"/>
        </w:rPr>
        <w:t>投标人应向深圳市国信招标有限公司提交投标保证金，并作为其投标文件的一部分。</w:t>
      </w:r>
      <w:r>
        <w:rPr>
          <w:rFonts w:hint="eastAsia" w:ascii="宋体" w:hAnsi="宋体"/>
          <w:color w:val="auto"/>
          <w:sz w:val="22"/>
          <w:szCs w:val="22"/>
          <w:highlight w:val="none"/>
        </w:rPr>
        <w:t>投标保证金形式、金额及账户信息：详</w:t>
      </w:r>
      <w:r>
        <w:rPr>
          <w:rFonts w:hint="eastAsia" w:ascii="宋体" w:hAnsi="宋体"/>
          <w:color w:val="auto"/>
          <w:sz w:val="22"/>
          <w:szCs w:val="22"/>
          <w:highlight w:val="none"/>
          <w:lang w:val="zh-CN"/>
        </w:rPr>
        <w:t>见</w:t>
      </w:r>
      <w:r>
        <w:rPr>
          <w:rFonts w:hint="eastAsia" w:ascii="宋体" w:hAnsi="宋体" w:eastAsia="宋体" w:cs="宋体"/>
          <w:color w:val="auto"/>
          <w:kern w:val="0"/>
          <w:szCs w:val="21"/>
          <w:highlight w:val="none"/>
          <w:lang w:val="zh-CN"/>
        </w:rPr>
        <w:t>《投标人须知前附表》</w:t>
      </w:r>
      <w:r>
        <w:rPr>
          <w:rFonts w:hint="eastAsia" w:ascii="宋体" w:hAnsi="宋体"/>
          <w:color w:val="auto"/>
          <w:sz w:val="22"/>
          <w:szCs w:val="22"/>
          <w:highlight w:val="none"/>
        </w:rPr>
        <w:t>。</w:t>
      </w:r>
    </w:p>
    <w:p>
      <w:pPr>
        <w:pStyle w:val="116"/>
        <w:numPr>
          <w:ilvl w:val="0"/>
          <w:numId w:val="25"/>
        </w:numPr>
        <w:adjustRightInd w:val="0"/>
        <w:snapToGrid w:val="0"/>
        <w:spacing w:line="360" w:lineRule="auto"/>
        <w:ind w:left="567" w:hanging="567" w:firstLineChars="0"/>
        <w:jc w:val="left"/>
        <w:rPr>
          <w:rFonts w:ascii="宋体" w:hAnsi="宋体"/>
          <w:color w:val="auto"/>
          <w:kern w:val="0"/>
          <w:sz w:val="22"/>
          <w:szCs w:val="22"/>
          <w:highlight w:val="none"/>
        </w:rPr>
      </w:pPr>
      <w:r>
        <w:rPr>
          <w:rFonts w:ascii="宋体" w:hAnsi="宋体"/>
          <w:color w:val="auto"/>
          <w:kern w:val="0"/>
          <w:sz w:val="22"/>
          <w:szCs w:val="22"/>
          <w:highlight w:val="none"/>
        </w:rPr>
        <w:t>投标人应按</w:t>
      </w:r>
      <w:r>
        <w:rPr>
          <w:rFonts w:hint="eastAsia" w:ascii="宋体" w:hAnsi="宋体"/>
          <w:color w:val="auto"/>
          <w:kern w:val="0"/>
          <w:sz w:val="22"/>
          <w:szCs w:val="22"/>
          <w:highlight w:val="none"/>
        </w:rPr>
        <w:t>包号</w:t>
      </w:r>
      <w:r>
        <w:rPr>
          <w:rFonts w:ascii="宋体" w:hAnsi="宋体"/>
          <w:color w:val="auto"/>
          <w:kern w:val="0"/>
          <w:sz w:val="22"/>
          <w:szCs w:val="22"/>
          <w:highlight w:val="none"/>
        </w:rPr>
        <w:t>提交投标保证金，投标人必须采用银行转账、电汇形式缴交，投标</w:t>
      </w:r>
      <w:r>
        <w:rPr>
          <w:rFonts w:hint="eastAsia" w:ascii="宋体" w:hAnsi="宋体"/>
          <w:color w:val="auto"/>
          <w:kern w:val="0"/>
          <w:sz w:val="22"/>
          <w:szCs w:val="22"/>
          <w:highlight w:val="none"/>
        </w:rPr>
        <w:t>人</w:t>
      </w:r>
      <w:r>
        <w:rPr>
          <w:rFonts w:ascii="宋体" w:hAnsi="宋体"/>
          <w:color w:val="auto"/>
          <w:kern w:val="0"/>
          <w:sz w:val="22"/>
          <w:szCs w:val="22"/>
          <w:highlight w:val="none"/>
        </w:rPr>
        <w:t>与交款人名称必须一致，非投标</w:t>
      </w:r>
      <w:r>
        <w:rPr>
          <w:rFonts w:hint="eastAsia" w:ascii="宋体" w:hAnsi="宋体"/>
          <w:color w:val="auto"/>
          <w:kern w:val="0"/>
          <w:sz w:val="22"/>
          <w:szCs w:val="22"/>
          <w:highlight w:val="none"/>
        </w:rPr>
        <w:t>人</w:t>
      </w:r>
      <w:r>
        <w:rPr>
          <w:rFonts w:ascii="宋体" w:hAnsi="宋体"/>
          <w:color w:val="auto"/>
          <w:kern w:val="0"/>
          <w:sz w:val="22"/>
          <w:szCs w:val="22"/>
          <w:highlight w:val="none"/>
        </w:rPr>
        <w:t>或以分公司或子公司缴纳的投标保证金无效。</w:t>
      </w:r>
    </w:p>
    <w:p>
      <w:pPr>
        <w:pStyle w:val="116"/>
        <w:numPr>
          <w:ilvl w:val="0"/>
          <w:numId w:val="25"/>
        </w:numPr>
        <w:adjustRightInd w:val="0"/>
        <w:snapToGrid w:val="0"/>
        <w:spacing w:line="360" w:lineRule="auto"/>
        <w:ind w:left="567" w:hanging="567" w:firstLineChars="0"/>
        <w:jc w:val="left"/>
        <w:rPr>
          <w:rFonts w:ascii="宋体" w:hAnsi="宋体"/>
          <w:snapToGrid w:val="0"/>
          <w:color w:val="auto"/>
          <w:kern w:val="0"/>
          <w:sz w:val="22"/>
          <w:szCs w:val="22"/>
          <w:highlight w:val="none"/>
        </w:rPr>
      </w:pPr>
      <w:r>
        <w:rPr>
          <w:rFonts w:ascii="宋体" w:hAnsi="宋体"/>
          <w:snapToGrid w:val="0"/>
          <w:color w:val="auto"/>
          <w:kern w:val="0"/>
          <w:sz w:val="22"/>
          <w:szCs w:val="22"/>
          <w:highlight w:val="none"/>
        </w:rPr>
        <w:t>投标保证金以银行划账形式提交，应符合下列规定：</w:t>
      </w:r>
    </w:p>
    <w:p>
      <w:pPr>
        <w:snapToGrid w:val="0"/>
        <w:spacing w:line="360" w:lineRule="auto"/>
        <w:ind w:left="525" w:leftChars="250" w:firstLine="110" w:firstLineChars="50"/>
        <w:rPr>
          <w:rFonts w:ascii="宋体" w:hAnsi="宋体"/>
          <w:color w:val="auto"/>
          <w:sz w:val="22"/>
          <w:szCs w:val="22"/>
          <w:highlight w:val="none"/>
        </w:rPr>
      </w:pPr>
      <w:r>
        <w:rPr>
          <w:rFonts w:ascii="宋体" w:hAnsi="宋体"/>
          <w:color w:val="auto"/>
          <w:sz w:val="22"/>
          <w:szCs w:val="22"/>
          <w:highlight w:val="none"/>
        </w:rPr>
        <w:t>投标保证金必须以银行转账、电汇方式提交。</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（1）如项目出现分包情况的，投标人必须按所投子包分别提交投标保证金。</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（2）</w:t>
      </w:r>
      <w:r>
        <w:rPr>
          <w:rFonts w:ascii="宋体" w:hAnsi="宋体"/>
          <w:b/>
          <w:color w:val="auto"/>
          <w:sz w:val="22"/>
          <w:szCs w:val="22"/>
          <w:highlight w:val="none"/>
        </w:rPr>
        <w:t>采用银行转账、电汇方式提交的，保证金必须在</w:t>
      </w:r>
      <w:r>
        <w:rPr>
          <w:rFonts w:hint="eastAsia" w:ascii="宋体" w:hAnsi="宋体"/>
          <w:b/>
          <w:color w:val="auto"/>
          <w:sz w:val="22"/>
          <w:szCs w:val="22"/>
          <w:highlight w:val="none"/>
        </w:rPr>
        <w:t>递交投标文件时间截止前</w:t>
      </w:r>
      <w:r>
        <w:rPr>
          <w:rFonts w:ascii="宋体" w:hAnsi="宋体"/>
          <w:b/>
          <w:color w:val="auto"/>
          <w:sz w:val="22"/>
          <w:szCs w:val="22"/>
          <w:highlight w:val="none"/>
        </w:rPr>
        <w:t>，到达</w:t>
      </w:r>
      <w:r>
        <w:rPr>
          <w:rFonts w:hint="eastAsia" w:ascii="宋体" w:hAnsi="宋体"/>
          <w:b/>
          <w:color w:val="auto"/>
          <w:sz w:val="22"/>
          <w:szCs w:val="22"/>
          <w:highlight w:val="none"/>
        </w:rPr>
        <w:t>招标</w:t>
      </w:r>
      <w:r>
        <w:rPr>
          <w:rFonts w:ascii="宋体" w:hAnsi="宋体"/>
          <w:b/>
          <w:color w:val="auto"/>
          <w:sz w:val="22"/>
          <w:szCs w:val="22"/>
          <w:highlight w:val="none"/>
        </w:rPr>
        <w:t>人指定的账户，否则将不具备参加投标的资格</w:t>
      </w:r>
      <w:r>
        <w:rPr>
          <w:rFonts w:ascii="宋体" w:hAnsi="宋体"/>
          <w:color w:val="auto"/>
          <w:sz w:val="22"/>
          <w:szCs w:val="22"/>
          <w:highlight w:val="none"/>
        </w:rPr>
        <w:t>。</w:t>
      </w:r>
    </w:p>
    <w:p>
      <w:pPr>
        <w:pStyle w:val="116"/>
        <w:numPr>
          <w:ilvl w:val="0"/>
          <w:numId w:val="25"/>
        </w:numPr>
        <w:adjustRightInd w:val="0"/>
        <w:snapToGrid w:val="0"/>
        <w:spacing w:line="360" w:lineRule="auto"/>
        <w:ind w:left="565" w:hanging="565" w:hangingChars="257"/>
        <w:jc w:val="left"/>
        <w:rPr>
          <w:rFonts w:ascii="宋体" w:hAnsi="宋体"/>
          <w:color w:val="auto"/>
          <w:sz w:val="22"/>
          <w:szCs w:val="22"/>
          <w:highlight w:val="none"/>
        </w:rPr>
      </w:pPr>
      <w:r>
        <w:rPr>
          <w:rFonts w:ascii="宋体" w:hAnsi="宋体"/>
          <w:snapToGrid w:val="0"/>
          <w:color w:val="auto"/>
          <w:kern w:val="0"/>
          <w:sz w:val="22"/>
          <w:szCs w:val="22"/>
          <w:highlight w:val="none"/>
        </w:rPr>
        <w:t>采用《投标担保函》</w:t>
      </w:r>
      <w:r>
        <w:rPr>
          <w:rFonts w:hint="eastAsia" w:ascii="宋体" w:hAnsi="宋体"/>
          <w:snapToGrid w:val="0"/>
          <w:color w:val="auto"/>
          <w:kern w:val="0"/>
          <w:sz w:val="22"/>
          <w:szCs w:val="22"/>
          <w:highlight w:val="none"/>
        </w:rPr>
        <w:t>（格式详见附件）</w:t>
      </w:r>
      <w:r>
        <w:rPr>
          <w:rFonts w:ascii="宋体" w:hAnsi="宋体"/>
          <w:snapToGrid w:val="0"/>
          <w:color w:val="auto"/>
          <w:kern w:val="0"/>
          <w:sz w:val="22"/>
          <w:szCs w:val="22"/>
          <w:highlight w:val="none"/>
        </w:rPr>
        <w:t>提交的（单独提交，不得与投标文件一起密封），应符合下列规定：《投标担保函》必须在</w:t>
      </w:r>
      <w:r>
        <w:rPr>
          <w:rFonts w:hint="eastAsia" w:ascii="宋体" w:hAnsi="宋体"/>
          <w:snapToGrid w:val="0"/>
          <w:color w:val="auto"/>
          <w:kern w:val="0"/>
          <w:sz w:val="22"/>
          <w:szCs w:val="22"/>
          <w:highlight w:val="none"/>
        </w:rPr>
        <w:t>递交投标文件时间截止前在开标现场</w:t>
      </w:r>
      <w:r>
        <w:rPr>
          <w:rFonts w:ascii="宋体" w:hAnsi="宋体"/>
          <w:snapToGrid w:val="0"/>
          <w:color w:val="auto"/>
          <w:kern w:val="0"/>
          <w:sz w:val="22"/>
          <w:szCs w:val="22"/>
          <w:highlight w:val="none"/>
        </w:rPr>
        <w:t>提交</w:t>
      </w:r>
      <w:r>
        <w:rPr>
          <w:rFonts w:hint="eastAsia" w:ascii="宋体" w:hAnsi="宋体"/>
          <w:snapToGrid w:val="0"/>
          <w:color w:val="auto"/>
          <w:kern w:val="0"/>
          <w:sz w:val="22"/>
          <w:szCs w:val="22"/>
          <w:highlight w:val="none"/>
        </w:rPr>
        <w:t>给招标</w:t>
      </w:r>
      <w:r>
        <w:rPr>
          <w:rFonts w:ascii="宋体" w:hAnsi="宋体"/>
          <w:snapToGrid w:val="0"/>
          <w:color w:val="auto"/>
          <w:kern w:val="0"/>
          <w:sz w:val="22"/>
          <w:szCs w:val="22"/>
          <w:highlight w:val="none"/>
        </w:rPr>
        <w:t>代理机构,以</w:t>
      </w:r>
      <w:r>
        <w:rPr>
          <w:rFonts w:hint="eastAsia" w:ascii="宋体" w:hAnsi="宋体"/>
          <w:snapToGrid w:val="0"/>
          <w:color w:val="auto"/>
          <w:kern w:val="0"/>
          <w:sz w:val="22"/>
          <w:szCs w:val="22"/>
          <w:highlight w:val="none"/>
        </w:rPr>
        <w:t>招标</w:t>
      </w:r>
      <w:r>
        <w:rPr>
          <w:rFonts w:ascii="宋体" w:hAnsi="宋体"/>
          <w:snapToGrid w:val="0"/>
          <w:color w:val="auto"/>
          <w:kern w:val="0"/>
          <w:sz w:val="22"/>
          <w:szCs w:val="22"/>
          <w:highlight w:val="none"/>
        </w:rPr>
        <w:t>代理机构收到《投标担保函》的签收时间为准。</w:t>
      </w:r>
    </w:p>
    <w:p>
      <w:pPr>
        <w:pStyle w:val="116"/>
        <w:numPr>
          <w:ilvl w:val="0"/>
          <w:numId w:val="25"/>
        </w:numPr>
        <w:adjustRightInd w:val="0"/>
        <w:snapToGrid w:val="0"/>
        <w:spacing w:line="360" w:lineRule="auto"/>
        <w:ind w:left="567" w:hanging="567" w:firstLineChars="0"/>
        <w:jc w:val="left"/>
        <w:rPr>
          <w:rFonts w:ascii="宋体" w:hAnsi="宋体"/>
          <w:color w:val="auto"/>
          <w:sz w:val="22"/>
          <w:szCs w:val="22"/>
          <w:highlight w:val="none"/>
        </w:rPr>
      </w:pPr>
      <w:r>
        <w:rPr>
          <w:rFonts w:ascii="宋体" w:hAnsi="宋体"/>
          <w:color w:val="auto"/>
          <w:sz w:val="22"/>
          <w:szCs w:val="22"/>
          <w:highlight w:val="none"/>
        </w:rPr>
        <w:t>凡没有根据本须知的规定提交投标保证金的投标，将被视为非响应性投标予以拒绝。</w:t>
      </w:r>
    </w:p>
    <w:p>
      <w:pPr>
        <w:pStyle w:val="116"/>
        <w:numPr>
          <w:ilvl w:val="0"/>
          <w:numId w:val="25"/>
        </w:numPr>
        <w:adjustRightInd w:val="0"/>
        <w:snapToGrid w:val="0"/>
        <w:spacing w:line="360" w:lineRule="auto"/>
        <w:ind w:left="567" w:hanging="567" w:firstLineChars="0"/>
        <w:jc w:val="left"/>
        <w:rPr>
          <w:rFonts w:ascii="宋体" w:hAnsi="宋体"/>
          <w:color w:val="auto"/>
          <w:sz w:val="22"/>
          <w:szCs w:val="22"/>
          <w:highlight w:val="none"/>
        </w:rPr>
      </w:pPr>
      <w:r>
        <w:rPr>
          <w:rFonts w:ascii="宋体" w:hAnsi="宋体"/>
          <w:color w:val="auto"/>
          <w:sz w:val="22"/>
          <w:szCs w:val="22"/>
          <w:highlight w:val="none"/>
        </w:rPr>
        <w:t>没中标的投标人，其投标保证金将在发出中标通知书五个工作日内办理退款手续（</w:t>
      </w:r>
      <w:r>
        <w:rPr>
          <w:rFonts w:hint="eastAsia" w:ascii="宋体" w:hAnsi="宋体"/>
          <w:color w:val="auto"/>
          <w:sz w:val="22"/>
          <w:szCs w:val="22"/>
          <w:highlight w:val="none"/>
        </w:rPr>
        <w:t>退回原账户</w:t>
      </w:r>
      <w:r>
        <w:rPr>
          <w:rFonts w:ascii="宋体" w:hAnsi="宋体"/>
          <w:color w:val="auto"/>
          <w:sz w:val="22"/>
          <w:szCs w:val="22"/>
          <w:highlight w:val="none"/>
        </w:rPr>
        <w:t>）。</w:t>
      </w:r>
    </w:p>
    <w:p>
      <w:pPr>
        <w:pStyle w:val="116"/>
        <w:numPr>
          <w:ilvl w:val="0"/>
          <w:numId w:val="25"/>
        </w:numPr>
        <w:adjustRightInd w:val="0"/>
        <w:snapToGrid w:val="0"/>
        <w:spacing w:line="360" w:lineRule="auto"/>
        <w:ind w:left="567" w:hanging="567" w:firstLineChars="0"/>
        <w:jc w:val="left"/>
        <w:rPr>
          <w:rFonts w:ascii="宋体" w:hAnsi="宋体"/>
          <w:color w:val="auto"/>
          <w:sz w:val="22"/>
          <w:szCs w:val="22"/>
          <w:highlight w:val="none"/>
        </w:rPr>
      </w:pPr>
      <w:r>
        <w:rPr>
          <w:rFonts w:ascii="宋体" w:hAnsi="宋体"/>
          <w:color w:val="auto"/>
          <w:sz w:val="22"/>
          <w:szCs w:val="22"/>
          <w:highlight w:val="none"/>
        </w:rPr>
        <w:t>中标人的投标保证金，在中标人按本须知第36条规定</w:t>
      </w:r>
      <w:r>
        <w:rPr>
          <w:rFonts w:hint="eastAsia" w:ascii="宋体" w:hAnsi="宋体"/>
          <w:color w:val="auto"/>
          <w:sz w:val="22"/>
          <w:szCs w:val="22"/>
          <w:highlight w:val="none"/>
        </w:rPr>
        <w:t>签订中标合同</w:t>
      </w:r>
      <w:r>
        <w:rPr>
          <w:rFonts w:ascii="宋体" w:hAnsi="宋体"/>
          <w:color w:val="auto"/>
          <w:sz w:val="22"/>
          <w:szCs w:val="22"/>
          <w:highlight w:val="none"/>
        </w:rPr>
        <w:t>后五个工作日内办理退款手续。中标人在签订采购合同并按本须知第35条规定提交履约</w:t>
      </w:r>
      <w:r>
        <w:rPr>
          <w:rFonts w:hint="eastAsia" w:ascii="宋体" w:hAnsi="宋体"/>
          <w:color w:val="auto"/>
          <w:sz w:val="22"/>
          <w:szCs w:val="22"/>
          <w:highlight w:val="none"/>
        </w:rPr>
        <w:t>担保</w:t>
      </w:r>
      <w:r>
        <w:rPr>
          <w:rFonts w:ascii="宋体" w:hAnsi="宋体"/>
          <w:color w:val="auto"/>
          <w:sz w:val="22"/>
          <w:szCs w:val="22"/>
          <w:highlight w:val="none"/>
        </w:rPr>
        <w:t>后，携带履约</w:t>
      </w:r>
      <w:r>
        <w:rPr>
          <w:rFonts w:hint="eastAsia" w:ascii="宋体" w:hAnsi="宋体"/>
          <w:color w:val="auto"/>
          <w:sz w:val="22"/>
          <w:szCs w:val="22"/>
          <w:highlight w:val="none"/>
        </w:rPr>
        <w:t>担保</w:t>
      </w:r>
      <w:r>
        <w:rPr>
          <w:rFonts w:ascii="宋体" w:hAnsi="宋体"/>
          <w:color w:val="auto"/>
          <w:sz w:val="22"/>
          <w:szCs w:val="22"/>
          <w:highlight w:val="none"/>
        </w:rPr>
        <w:t>复印件（盖公章）一式五份和合同正本复印件，到</w:t>
      </w:r>
      <w:r>
        <w:rPr>
          <w:rFonts w:hint="eastAsia" w:ascii="宋体" w:hAnsi="宋体"/>
          <w:color w:val="auto"/>
          <w:sz w:val="22"/>
          <w:szCs w:val="22"/>
          <w:highlight w:val="none"/>
        </w:rPr>
        <w:t>招标</w:t>
      </w:r>
      <w:r>
        <w:rPr>
          <w:rFonts w:ascii="宋体" w:hAnsi="宋体"/>
          <w:color w:val="auto"/>
          <w:sz w:val="22"/>
          <w:szCs w:val="22"/>
          <w:highlight w:val="none"/>
        </w:rPr>
        <w:t>代理机构提出退投标保证金申请，经</w:t>
      </w:r>
      <w:r>
        <w:rPr>
          <w:rFonts w:hint="eastAsia" w:ascii="宋体" w:hAnsi="宋体"/>
          <w:color w:val="auto"/>
          <w:sz w:val="22"/>
          <w:szCs w:val="22"/>
          <w:highlight w:val="none"/>
        </w:rPr>
        <w:t>招标人</w:t>
      </w:r>
      <w:r>
        <w:rPr>
          <w:rFonts w:ascii="宋体" w:hAnsi="宋体"/>
          <w:color w:val="auto"/>
          <w:sz w:val="22"/>
          <w:szCs w:val="22"/>
          <w:highlight w:val="none"/>
        </w:rPr>
        <w:t>审核通过后再办理投标保证金退回手续。</w:t>
      </w:r>
    </w:p>
    <w:p>
      <w:pPr>
        <w:pStyle w:val="116"/>
        <w:numPr>
          <w:ilvl w:val="0"/>
          <w:numId w:val="25"/>
        </w:numPr>
        <w:adjustRightInd w:val="0"/>
        <w:snapToGrid w:val="0"/>
        <w:spacing w:line="360" w:lineRule="auto"/>
        <w:ind w:left="567" w:hanging="567" w:firstLineChars="0"/>
        <w:jc w:val="left"/>
        <w:rPr>
          <w:rFonts w:hAnsi="宋体"/>
          <w:b/>
          <w:bCs/>
          <w:color w:val="auto"/>
          <w:sz w:val="22"/>
          <w:szCs w:val="22"/>
          <w:highlight w:val="none"/>
        </w:rPr>
      </w:pPr>
      <w:r>
        <w:rPr>
          <w:rFonts w:ascii="宋体" w:hAnsi="宋体"/>
          <w:b/>
          <w:bCs/>
          <w:color w:val="auto"/>
          <w:sz w:val="22"/>
          <w:szCs w:val="22"/>
          <w:highlight w:val="none"/>
        </w:rPr>
        <w:t>下列任何情况发生时，</w:t>
      </w:r>
      <w:r>
        <w:rPr>
          <w:rFonts w:hint="eastAsia" w:hAnsi="宋体"/>
          <w:b/>
          <w:color w:val="auto"/>
          <w:sz w:val="22"/>
          <w:szCs w:val="22"/>
          <w:highlight w:val="none"/>
        </w:rPr>
        <w:t>经招标人同意后，招标代理机构在书面通知投标人（或中标人）后有权没收投标保证金：</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（1）</w:t>
      </w:r>
      <w:r>
        <w:rPr>
          <w:rFonts w:hint="eastAsia" w:hAnsi="宋体"/>
          <w:color w:val="auto"/>
          <w:sz w:val="22"/>
          <w:szCs w:val="22"/>
          <w:highlight w:val="none"/>
        </w:rPr>
        <w:t>投标人在规定的投标截止时间后至投标有效期满前撤销或修改其投标文件</w:t>
      </w:r>
      <w:r>
        <w:rPr>
          <w:rFonts w:ascii="宋体" w:hAnsi="宋体"/>
          <w:color w:val="auto"/>
          <w:sz w:val="22"/>
          <w:szCs w:val="22"/>
          <w:highlight w:val="none"/>
        </w:rPr>
        <w:t>；</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（2）</w:t>
      </w:r>
      <w:r>
        <w:rPr>
          <w:rFonts w:hint="eastAsia" w:hAnsi="宋体"/>
          <w:color w:val="auto"/>
          <w:sz w:val="22"/>
          <w:szCs w:val="22"/>
          <w:highlight w:val="none"/>
        </w:rPr>
        <w:t>中标人未能在规定期限内提交履约担保</w:t>
      </w:r>
      <w:r>
        <w:rPr>
          <w:rFonts w:ascii="宋体" w:hAnsi="宋体"/>
          <w:color w:val="auto"/>
          <w:sz w:val="22"/>
          <w:szCs w:val="22"/>
          <w:highlight w:val="none"/>
        </w:rPr>
        <w:t>；</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（3）中标人在规定期限内未能根据本须知第36条规定签订合同；</w:t>
      </w:r>
    </w:p>
    <w:p>
      <w:pPr>
        <w:spacing w:line="360" w:lineRule="auto"/>
        <w:ind w:left="1075" w:leftChars="250" w:hanging="550" w:hangingChars="250"/>
        <w:rPr>
          <w:rFonts w:ascii="宋体" w:hAnsi="宋体"/>
          <w:bCs/>
          <w:color w:val="auto"/>
          <w:sz w:val="22"/>
          <w:szCs w:val="22"/>
          <w:highlight w:val="none"/>
        </w:rPr>
      </w:pPr>
      <w:r>
        <w:rPr>
          <w:rFonts w:ascii="宋体" w:hAnsi="宋体"/>
          <w:bCs/>
          <w:color w:val="auto"/>
          <w:sz w:val="22"/>
          <w:szCs w:val="22"/>
          <w:highlight w:val="none"/>
        </w:rPr>
        <w:t>（4）</w:t>
      </w:r>
      <w:r>
        <w:rPr>
          <w:rFonts w:hAnsi="宋体" w:cs="Arial"/>
          <w:color w:val="auto"/>
          <w:sz w:val="22"/>
          <w:szCs w:val="22"/>
          <w:highlight w:val="none"/>
        </w:rPr>
        <w:t>提供虚假</w:t>
      </w:r>
      <w:r>
        <w:rPr>
          <w:rFonts w:hint="eastAsia" w:hAnsi="宋体" w:cs="Arial"/>
          <w:color w:val="auto"/>
          <w:sz w:val="22"/>
          <w:szCs w:val="22"/>
          <w:highlight w:val="none"/>
        </w:rPr>
        <w:t>投标</w:t>
      </w:r>
      <w:r>
        <w:rPr>
          <w:rFonts w:hAnsi="宋体" w:cs="Arial"/>
          <w:color w:val="auto"/>
          <w:sz w:val="22"/>
          <w:szCs w:val="22"/>
          <w:highlight w:val="none"/>
        </w:rPr>
        <w:t>文件或虚假补充文件的</w:t>
      </w:r>
      <w:r>
        <w:rPr>
          <w:rFonts w:hint="eastAsia" w:hAnsi="宋体" w:cs="Arial"/>
          <w:color w:val="auto"/>
          <w:sz w:val="22"/>
          <w:szCs w:val="22"/>
          <w:highlight w:val="none"/>
        </w:rPr>
        <w:t>，或</w:t>
      </w:r>
      <w:r>
        <w:rPr>
          <w:rFonts w:hint="eastAsia" w:hAnsi="宋体"/>
          <w:color w:val="auto"/>
          <w:sz w:val="22"/>
          <w:szCs w:val="22"/>
          <w:highlight w:val="none"/>
        </w:rPr>
        <w:t>违反《中华人民共和国招标投标法》等有关法律、法规、规章及招标投标相关规定的行为。</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76" w:name="_Toc61529828"/>
      <w:bookmarkStart w:id="77" w:name="_Toc441844072"/>
      <w:r>
        <w:rPr>
          <w:rFonts w:ascii="宋体" w:hAnsi="宋体"/>
          <w:b/>
          <w:bCs/>
          <w:color w:val="auto"/>
          <w:sz w:val="22"/>
          <w:szCs w:val="22"/>
          <w:highlight w:val="none"/>
        </w:rPr>
        <w:t>投标有效期</w:t>
      </w:r>
      <w:bookmarkEnd w:id="76"/>
      <w:bookmarkEnd w:id="77"/>
    </w:p>
    <w:p>
      <w:pPr>
        <w:pStyle w:val="99"/>
        <w:numPr>
          <w:ilvl w:val="0"/>
          <w:numId w:val="26"/>
        </w:numPr>
        <w:tabs>
          <w:tab w:val="left" w:pos="142"/>
        </w:tabs>
        <w:spacing w:line="360" w:lineRule="auto"/>
        <w:ind w:left="567" w:hanging="567" w:firstLineChars="0"/>
        <w:rPr>
          <w:rFonts w:ascii="宋体" w:eastAsia="宋体"/>
          <w:b/>
          <w:color w:val="auto"/>
          <w:sz w:val="22"/>
          <w:szCs w:val="22"/>
          <w:highlight w:val="none"/>
        </w:rPr>
      </w:pPr>
      <w:r>
        <w:rPr>
          <w:rFonts w:ascii="宋体" w:eastAsia="宋体"/>
          <w:color w:val="auto"/>
          <w:sz w:val="22"/>
          <w:szCs w:val="22"/>
          <w:highlight w:val="none"/>
        </w:rPr>
        <w:t>投标文件应根据投标人须知的规定在投标截止时间后的</w:t>
      </w:r>
      <w:r>
        <w:rPr>
          <w:rFonts w:hint="eastAsia" w:ascii="宋体" w:eastAsia="宋体"/>
          <w:color w:val="auto"/>
          <w:sz w:val="22"/>
          <w:szCs w:val="22"/>
          <w:highlight w:val="none"/>
          <w:lang w:val="en-US" w:eastAsia="zh-CN"/>
        </w:rPr>
        <w:t>120</w:t>
      </w:r>
      <w:r>
        <w:rPr>
          <w:rFonts w:ascii="宋体" w:eastAsia="宋体"/>
          <w:color w:val="auto"/>
          <w:sz w:val="22"/>
          <w:szCs w:val="22"/>
          <w:highlight w:val="none"/>
        </w:rPr>
        <w:t>天内保持有效。</w:t>
      </w:r>
      <w:r>
        <w:rPr>
          <w:rFonts w:ascii="宋体" w:eastAsia="宋体"/>
          <w:b/>
          <w:color w:val="auto"/>
          <w:sz w:val="22"/>
          <w:szCs w:val="22"/>
          <w:highlight w:val="none"/>
        </w:rPr>
        <w:t>投标有效期比规定期限短的将被视为非实质性响应标而予以拒绝。</w:t>
      </w:r>
    </w:p>
    <w:p>
      <w:pPr>
        <w:pStyle w:val="99"/>
        <w:numPr>
          <w:ilvl w:val="0"/>
          <w:numId w:val="26"/>
        </w:numPr>
        <w:tabs>
          <w:tab w:val="left" w:pos="142"/>
        </w:tabs>
        <w:spacing w:line="360" w:lineRule="auto"/>
        <w:ind w:left="567" w:hanging="567" w:firstLineChars="0"/>
        <w:rPr>
          <w:rFonts w:ascii="宋体"/>
          <w:bCs/>
          <w:color w:val="auto"/>
          <w:sz w:val="22"/>
          <w:szCs w:val="22"/>
          <w:highlight w:val="none"/>
        </w:rPr>
      </w:pPr>
      <w:r>
        <w:rPr>
          <w:rFonts w:ascii="宋体" w:eastAsia="宋体"/>
          <w:color w:val="auto"/>
          <w:sz w:val="22"/>
          <w:szCs w:val="22"/>
          <w:highlight w:val="none"/>
        </w:rPr>
        <w:t>特殊情况下，在原有投标有效期截止之前，</w:t>
      </w:r>
      <w:r>
        <w:rPr>
          <w:rFonts w:hint="eastAsia" w:ascii="宋体" w:eastAsia="宋体"/>
          <w:color w:val="auto"/>
          <w:sz w:val="22"/>
          <w:szCs w:val="22"/>
          <w:highlight w:val="none"/>
        </w:rPr>
        <w:t>招标</w:t>
      </w:r>
      <w:r>
        <w:rPr>
          <w:rFonts w:ascii="宋体" w:eastAsia="宋体"/>
          <w:color w:val="auto"/>
          <w:sz w:val="22"/>
          <w:szCs w:val="22"/>
          <w:highlight w:val="none"/>
        </w:rPr>
        <w:t>代理机构可要求投标人同意延长投标有效期。这种要求与答复均应以书面形式提交。投标人可拒绝</w:t>
      </w:r>
      <w:r>
        <w:rPr>
          <w:rFonts w:hint="eastAsia" w:ascii="宋体" w:eastAsia="宋体"/>
          <w:color w:val="auto"/>
          <w:sz w:val="22"/>
          <w:szCs w:val="22"/>
          <w:highlight w:val="none"/>
        </w:rPr>
        <w:t>招标</w:t>
      </w:r>
      <w:r>
        <w:rPr>
          <w:rFonts w:ascii="宋体" w:eastAsia="宋体"/>
          <w:color w:val="auto"/>
          <w:sz w:val="22"/>
          <w:szCs w:val="22"/>
          <w:highlight w:val="none"/>
        </w:rPr>
        <w:t>代理机构的这种要求，其投标保证金将不会被没收。接受投标有效期延长的投标人将不会被要求和允许修正其投标文件，而只会被要求相应地延长其投标保证金的有效期。在这种情况下，根据投标人须知有关投标保证金的退还和没收的规定将在延长了的有效期内继续有效。</w:t>
      </w:r>
    </w:p>
    <w:p>
      <w:pPr>
        <w:pStyle w:val="4"/>
        <w:tabs>
          <w:tab w:val="left" w:pos="142"/>
          <w:tab w:val="clear" w:pos="1440"/>
        </w:tabs>
        <w:ind w:left="0" w:firstLine="0"/>
        <w:rPr>
          <w:rFonts w:ascii="宋体" w:hAnsi="宋体" w:eastAsia="宋体"/>
          <w:color w:val="auto"/>
          <w:sz w:val="22"/>
          <w:szCs w:val="22"/>
          <w:highlight w:val="none"/>
          <w:lang w:val="zh-CN"/>
        </w:rPr>
      </w:pPr>
      <w:bookmarkStart w:id="78" w:name="_Toc396137236"/>
      <w:bookmarkStart w:id="79" w:name="_Toc425348137"/>
      <w:bookmarkStart w:id="80" w:name="_Toc61529829"/>
      <w:bookmarkStart w:id="81" w:name="_Toc441844073"/>
      <w:r>
        <w:rPr>
          <w:rFonts w:ascii="宋体" w:hAnsi="宋体" w:eastAsia="宋体"/>
          <w:color w:val="auto"/>
          <w:sz w:val="22"/>
          <w:szCs w:val="22"/>
          <w:highlight w:val="none"/>
          <w:lang w:val="zh-CN"/>
        </w:rPr>
        <w:t>（四）投标文件的递交</w:t>
      </w:r>
      <w:bookmarkEnd w:id="78"/>
      <w:bookmarkEnd w:id="79"/>
      <w:bookmarkEnd w:id="80"/>
      <w:bookmarkEnd w:id="81"/>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82" w:name="_Toc61529830"/>
      <w:bookmarkStart w:id="83" w:name="_Toc441844074"/>
      <w:r>
        <w:rPr>
          <w:rFonts w:ascii="宋体" w:hAnsi="宋体"/>
          <w:b/>
          <w:bCs/>
          <w:color w:val="auto"/>
          <w:sz w:val="22"/>
          <w:szCs w:val="22"/>
          <w:highlight w:val="none"/>
        </w:rPr>
        <w:t>投标文件的装订、密封和标记</w:t>
      </w:r>
      <w:bookmarkEnd w:id="82"/>
      <w:bookmarkEnd w:id="83"/>
    </w:p>
    <w:p>
      <w:pPr>
        <w:pStyle w:val="116"/>
        <w:numPr>
          <w:ilvl w:val="0"/>
          <w:numId w:val="27"/>
        </w:numPr>
        <w:spacing w:line="360" w:lineRule="auto"/>
        <w:ind w:left="567" w:hanging="567" w:firstLineChars="0"/>
        <w:rPr>
          <w:rFonts w:ascii="宋体" w:hAnsi="宋体"/>
          <w:b/>
          <w:color w:val="auto"/>
          <w:sz w:val="22"/>
          <w:szCs w:val="22"/>
          <w:highlight w:val="none"/>
          <w:em w:val="dot"/>
        </w:rPr>
      </w:pPr>
      <w:r>
        <w:rPr>
          <w:rFonts w:hint="eastAsia" w:ascii="宋体" w:hAnsi="宋体"/>
          <w:b/>
          <w:color w:val="auto"/>
          <w:sz w:val="22"/>
          <w:szCs w:val="22"/>
          <w:highlight w:val="none"/>
          <w:em w:val="dot"/>
        </w:rPr>
        <w:t>投标文件的装订要求。投标文件的商务技术文件装订方式统一要求采用无线胶装，不得采用打孔胶条装订、线装装订方式。无线胶装样式要求见招标文件无线胶装样式。</w:t>
      </w:r>
      <w:r>
        <w:rPr>
          <w:rFonts w:hint="eastAsia" w:ascii="宋体" w:hAnsi="宋体" w:eastAsia="宋体"/>
          <w:b/>
          <w:color w:val="auto"/>
          <w:sz w:val="22"/>
          <w:szCs w:val="22"/>
          <w:highlight w:val="none"/>
          <w:em w:val="dot"/>
        </w:rPr>
        <w:t>投标文件</w:t>
      </w:r>
      <w:r>
        <w:rPr>
          <w:rFonts w:hint="eastAsia" w:ascii="宋体" w:hAnsi="宋体"/>
          <w:b/>
          <w:color w:val="auto"/>
          <w:sz w:val="22"/>
          <w:szCs w:val="22"/>
          <w:highlight w:val="none"/>
          <w:em w:val="dot"/>
        </w:rPr>
        <w:t>中价格文件须单独装订，出现掉页或漏页的由投标人自己承担。</w:t>
      </w:r>
    </w:p>
    <w:p>
      <w:pPr>
        <w:pStyle w:val="116"/>
        <w:numPr>
          <w:ilvl w:val="0"/>
          <w:numId w:val="27"/>
        </w:numPr>
        <w:spacing w:line="360" w:lineRule="auto"/>
        <w:ind w:left="567" w:hanging="567" w:firstLineChars="0"/>
        <w:rPr>
          <w:rFonts w:ascii="宋体" w:hAnsi="宋体"/>
          <w:b/>
          <w:color w:val="auto"/>
          <w:sz w:val="22"/>
          <w:szCs w:val="22"/>
          <w:highlight w:val="none"/>
          <w:em w:val="dot"/>
        </w:rPr>
      </w:pPr>
      <w:r>
        <w:rPr>
          <w:rFonts w:hint="eastAsia" w:ascii="宋体" w:hAnsi="宋体"/>
          <w:b/>
          <w:color w:val="auto"/>
          <w:sz w:val="22"/>
          <w:szCs w:val="22"/>
          <w:highlight w:val="none"/>
          <w:em w:val="dot"/>
        </w:rPr>
        <w:t>★</w:t>
      </w:r>
      <w:r>
        <w:rPr>
          <w:rFonts w:ascii="宋体" w:hAnsi="宋体"/>
          <w:b/>
          <w:color w:val="auto"/>
          <w:sz w:val="22"/>
          <w:szCs w:val="22"/>
          <w:highlight w:val="none"/>
          <w:em w:val="dot"/>
        </w:rPr>
        <w:t>为方便开标唱标，投标人应按以下要求准备投标文件（参投多个子包的投标人每个子包分别递交投标文件）：</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32"/>
        <w:gridCol w:w="2370"/>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序号</w:t>
            </w:r>
          </w:p>
        </w:tc>
        <w:tc>
          <w:tcPr>
            <w:tcW w:w="1016" w:type="pct"/>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投标文件名称</w:t>
            </w:r>
          </w:p>
        </w:tc>
        <w:tc>
          <w:tcPr>
            <w:tcW w:w="1390" w:type="pct"/>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装订</w:t>
            </w:r>
          </w:p>
        </w:tc>
        <w:tc>
          <w:tcPr>
            <w:tcW w:w="2195" w:type="pct"/>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pct"/>
            <w:vMerge w:val="restar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1</w:t>
            </w:r>
          </w:p>
        </w:tc>
        <w:tc>
          <w:tcPr>
            <w:tcW w:w="1016"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唱标信封</w:t>
            </w:r>
          </w:p>
        </w:tc>
        <w:tc>
          <w:tcPr>
            <w:tcW w:w="1390" w:type="pct"/>
            <w:vMerge w:val="restart"/>
            <w:noWrap w:val="0"/>
            <w:vAlign w:val="center"/>
          </w:tcPr>
          <w:p>
            <w:pPr>
              <w:jc w:val="center"/>
              <w:rPr>
                <w:rFonts w:ascii="宋体" w:hAnsi="宋体"/>
                <w:color w:val="auto"/>
                <w:sz w:val="22"/>
                <w:szCs w:val="22"/>
                <w:highlight w:val="none"/>
              </w:rPr>
            </w:pPr>
            <w:r>
              <w:rPr>
                <w:rFonts w:ascii="宋体" w:hAnsi="宋体"/>
                <w:b/>
                <w:color w:val="auto"/>
                <w:sz w:val="22"/>
                <w:szCs w:val="22"/>
                <w:highlight w:val="none"/>
              </w:rPr>
              <w:t>独立</w:t>
            </w:r>
            <w:r>
              <w:rPr>
                <w:rFonts w:ascii="宋体" w:hAnsi="宋体"/>
                <w:color w:val="auto"/>
                <w:sz w:val="22"/>
                <w:szCs w:val="22"/>
                <w:highlight w:val="none"/>
              </w:rPr>
              <w:t>装订、合并密封</w:t>
            </w:r>
          </w:p>
        </w:tc>
        <w:tc>
          <w:tcPr>
            <w:tcW w:w="2195" w:type="pct"/>
            <w:noWrap w:val="0"/>
            <w:vAlign w:val="center"/>
          </w:tcPr>
          <w:p>
            <w:pPr>
              <w:rPr>
                <w:rFonts w:ascii="宋体" w:hAnsi="宋体"/>
                <w:color w:val="auto"/>
                <w:sz w:val="22"/>
                <w:szCs w:val="22"/>
                <w:highlight w:val="none"/>
              </w:rPr>
            </w:pPr>
            <w:r>
              <w:rPr>
                <w:rFonts w:ascii="宋体" w:hAnsi="宋体"/>
                <w:color w:val="auto"/>
                <w:sz w:val="22"/>
                <w:szCs w:val="22"/>
                <w:highlight w:val="none"/>
              </w:rPr>
              <w:t>含《投标报价一览表》、《投标保证金汇入情况说明》及投标保证金支付凭证（银行划款单复</w:t>
            </w:r>
            <w:bookmarkStart w:id="84" w:name="_Hlt128472975"/>
            <w:bookmarkEnd w:id="84"/>
            <w:r>
              <w:rPr>
                <w:rFonts w:ascii="宋体" w:hAnsi="宋体"/>
                <w:color w:val="auto"/>
                <w:sz w:val="22"/>
                <w:szCs w:val="22"/>
                <w:highlight w:val="none"/>
              </w:rPr>
              <w:t>印件，加盖</w:t>
            </w:r>
            <w:r>
              <w:rPr>
                <w:rFonts w:hint="eastAsia" w:ascii="宋体" w:hAnsi="宋体"/>
                <w:color w:val="auto"/>
                <w:sz w:val="22"/>
                <w:szCs w:val="22"/>
                <w:highlight w:val="none"/>
              </w:rPr>
              <w:t>投标人</w:t>
            </w:r>
            <w:r>
              <w:rPr>
                <w:rFonts w:ascii="宋体" w:hAnsi="宋体"/>
                <w:color w:val="auto"/>
                <w:sz w:val="22"/>
                <w:szCs w:val="22"/>
                <w:highlight w:val="none"/>
              </w:rPr>
              <w:t>公章）</w:t>
            </w:r>
            <w:r>
              <w:rPr>
                <w:rFonts w:hint="eastAsia" w:ascii="宋体" w:hAnsi="宋体"/>
                <w:color w:val="auto"/>
                <w:sz w:val="22"/>
                <w:szCs w:val="22"/>
                <w:highlight w:val="none"/>
              </w:rPr>
              <w:t>及法定代表人授权委托书原件及被授权代表身份证复印件加盖投标人公章（如法定代表人投标则附法定代表人身份证明书原件及法定代表人身份证复印件加盖投标人公章）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vMerge w:val="continue"/>
            <w:noWrap w:val="0"/>
            <w:vAlign w:val="center"/>
          </w:tcPr>
          <w:p>
            <w:pPr>
              <w:jc w:val="center"/>
              <w:rPr>
                <w:rFonts w:ascii="宋体" w:hAnsi="宋体"/>
                <w:color w:val="auto"/>
                <w:sz w:val="22"/>
                <w:szCs w:val="22"/>
                <w:highlight w:val="none"/>
              </w:rPr>
            </w:pPr>
          </w:p>
        </w:tc>
        <w:tc>
          <w:tcPr>
            <w:tcW w:w="1016"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电子文件</w:t>
            </w:r>
          </w:p>
        </w:tc>
        <w:tc>
          <w:tcPr>
            <w:tcW w:w="1390" w:type="pct"/>
            <w:vMerge w:val="continue"/>
            <w:noWrap w:val="0"/>
            <w:vAlign w:val="center"/>
          </w:tcPr>
          <w:p>
            <w:pPr>
              <w:jc w:val="center"/>
              <w:rPr>
                <w:rFonts w:ascii="宋体" w:hAnsi="宋体"/>
                <w:color w:val="auto"/>
                <w:sz w:val="22"/>
                <w:szCs w:val="22"/>
                <w:highlight w:val="none"/>
              </w:rPr>
            </w:pPr>
          </w:p>
        </w:tc>
        <w:tc>
          <w:tcPr>
            <w:tcW w:w="2195" w:type="pct"/>
            <w:noWrap w:val="0"/>
            <w:vAlign w:val="center"/>
          </w:tcPr>
          <w:p>
            <w:pPr>
              <w:rPr>
                <w:rFonts w:ascii="宋体" w:hAnsi="宋体"/>
                <w:color w:val="auto"/>
                <w:sz w:val="22"/>
                <w:szCs w:val="22"/>
                <w:highlight w:val="none"/>
              </w:rPr>
            </w:pPr>
            <w:r>
              <w:rPr>
                <w:rFonts w:ascii="宋体" w:hAnsi="宋体"/>
                <w:color w:val="auto"/>
                <w:sz w:val="22"/>
                <w:szCs w:val="22"/>
                <w:highlight w:val="none"/>
              </w:rPr>
              <w:t>含价格文件、商务技术文件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2</w:t>
            </w:r>
          </w:p>
        </w:tc>
        <w:tc>
          <w:tcPr>
            <w:tcW w:w="1016"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价格文件</w:t>
            </w:r>
          </w:p>
        </w:tc>
        <w:tc>
          <w:tcPr>
            <w:tcW w:w="1390" w:type="pct"/>
            <w:noWrap w:val="0"/>
            <w:vAlign w:val="center"/>
          </w:tcPr>
          <w:p>
            <w:pPr>
              <w:jc w:val="center"/>
              <w:rPr>
                <w:rFonts w:ascii="宋体" w:hAnsi="宋体"/>
                <w:color w:val="auto"/>
                <w:sz w:val="22"/>
                <w:szCs w:val="22"/>
                <w:highlight w:val="none"/>
              </w:rPr>
            </w:pPr>
            <w:r>
              <w:rPr>
                <w:rFonts w:ascii="宋体" w:hAnsi="宋体"/>
                <w:b/>
                <w:color w:val="auto"/>
                <w:sz w:val="22"/>
                <w:szCs w:val="22"/>
                <w:highlight w:val="none"/>
              </w:rPr>
              <w:t>独立</w:t>
            </w:r>
            <w:r>
              <w:rPr>
                <w:rFonts w:ascii="宋体" w:hAnsi="宋体"/>
                <w:color w:val="auto"/>
                <w:sz w:val="22"/>
                <w:szCs w:val="22"/>
                <w:highlight w:val="none"/>
              </w:rPr>
              <w:t>装订成册、独立密封</w:t>
            </w:r>
          </w:p>
        </w:tc>
        <w:tc>
          <w:tcPr>
            <w:tcW w:w="2195"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含正、副本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3</w:t>
            </w:r>
          </w:p>
        </w:tc>
        <w:tc>
          <w:tcPr>
            <w:tcW w:w="1016"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商务技术文件</w:t>
            </w:r>
          </w:p>
        </w:tc>
        <w:tc>
          <w:tcPr>
            <w:tcW w:w="1390"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商务与技术可装订成册也可分开装订、独立密封</w:t>
            </w:r>
          </w:p>
        </w:tc>
        <w:tc>
          <w:tcPr>
            <w:tcW w:w="2195" w:type="pct"/>
            <w:noWrap w:val="0"/>
            <w:vAlign w:val="center"/>
          </w:tcPr>
          <w:p>
            <w:pPr>
              <w:jc w:val="center"/>
              <w:rPr>
                <w:rFonts w:ascii="宋体" w:hAnsi="宋体"/>
                <w:color w:val="auto"/>
                <w:sz w:val="22"/>
                <w:szCs w:val="22"/>
                <w:highlight w:val="none"/>
              </w:rPr>
            </w:pPr>
            <w:r>
              <w:rPr>
                <w:rFonts w:ascii="宋体" w:hAnsi="宋体"/>
                <w:color w:val="auto"/>
                <w:sz w:val="22"/>
                <w:szCs w:val="22"/>
                <w:highlight w:val="none"/>
              </w:rPr>
              <w:t>含正、副本</w:t>
            </w:r>
          </w:p>
        </w:tc>
      </w:tr>
    </w:tbl>
    <w:p>
      <w:pPr>
        <w:pStyle w:val="116"/>
        <w:numPr>
          <w:ilvl w:val="0"/>
          <w:numId w:val="27"/>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投标人应在密封袋上标明“</w:t>
      </w:r>
      <w:r>
        <w:rPr>
          <w:rFonts w:hint="eastAsia" w:ascii="宋体" w:hAnsi="宋体"/>
          <w:color w:val="auto"/>
          <w:sz w:val="22"/>
          <w:szCs w:val="22"/>
          <w:highlight w:val="none"/>
        </w:rPr>
        <w:t>价格文件</w:t>
      </w:r>
      <w:r>
        <w:rPr>
          <w:rFonts w:ascii="宋体" w:hAnsi="宋体"/>
          <w:color w:val="auto"/>
          <w:sz w:val="22"/>
          <w:szCs w:val="22"/>
          <w:highlight w:val="none"/>
        </w:rPr>
        <w:t>”、“</w:t>
      </w:r>
      <w:r>
        <w:rPr>
          <w:rFonts w:hint="eastAsia" w:ascii="宋体" w:hAnsi="宋体"/>
          <w:color w:val="auto"/>
          <w:sz w:val="22"/>
          <w:szCs w:val="22"/>
          <w:highlight w:val="none"/>
        </w:rPr>
        <w:t>商务技术文件</w:t>
      </w:r>
      <w:r>
        <w:rPr>
          <w:rFonts w:ascii="宋体" w:hAnsi="宋体"/>
          <w:color w:val="auto"/>
          <w:sz w:val="22"/>
          <w:szCs w:val="22"/>
          <w:highlight w:val="none"/>
        </w:rPr>
        <w:t>”、“唱标信封”等内容，并在密封袋的封口处加盖投标人公章。</w:t>
      </w:r>
    </w:p>
    <w:p>
      <w:pPr>
        <w:pStyle w:val="116"/>
        <w:numPr>
          <w:ilvl w:val="0"/>
          <w:numId w:val="27"/>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在投标文件密封袋上均应标明以下内容：</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项目</w:t>
      </w:r>
      <w:r>
        <w:rPr>
          <w:rFonts w:ascii="宋体" w:hAnsi="宋体"/>
          <w:color w:val="auto"/>
          <w:sz w:val="22"/>
          <w:szCs w:val="22"/>
          <w:highlight w:val="none"/>
        </w:rPr>
        <w:t>编号：</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GXDG21016</w:t>
      </w:r>
      <w:r>
        <w:rPr>
          <w:rFonts w:ascii="宋体" w:hAnsi="宋体"/>
          <w:color w:val="auto"/>
          <w:sz w:val="22"/>
          <w:szCs w:val="22"/>
          <w:highlight w:val="none"/>
          <w:u w:val="single"/>
        </w:rPr>
        <w:t xml:space="preserve"> </w:t>
      </w:r>
      <w:r>
        <w:rPr>
          <w:rFonts w:ascii="宋体" w:hAnsi="宋体"/>
          <w:color w:val="auto"/>
          <w:sz w:val="22"/>
          <w:szCs w:val="22"/>
          <w:highlight w:val="none"/>
        </w:rPr>
        <w:t>；</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（2）项目名称：</w:t>
      </w:r>
      <w:r>
        <w:rPr>
          <w:rFonts w:hint="eastAsia" w:ascii="宋体" w:hAnsi="宋体"/>
          <w:color w:val="auto"/>
          <w:sz w:val="22"/>
          <w:szCs w:val="22"/>
          <w:highlight w:val="none"/>
          <w:u w:val="single"/>
        </w:rPr>
        <w:t>东莞市轨道交通有限公司运营分公司2021年生产设备采购项目</w:t>
      </w:r>
      <w:r>
        <w:rPr>
          <w:rFonts w:ascii="宋体" w:hAnsi="宋体"/>
          <w:color w:val="auto"/>
          <w:sz w:val="22"/>
          <w:szCs w:val="22"/>
          <w:highlight w:val="none"/>
        </w:rPr>
        <w:t>；</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（3）</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2021</w:t>
      </w:r>
      <w:r>
        <w:rPr>
          <w:rFonts w:hint="eastAsia" w:ascii="宋体" w:hAnsi="宋体"/>
          <w:color w:val="auto"/>
          <w:sz w:val="22"/>
          <w:szCs w:val="22"/>
          <w:highlight w:val="none"/>
          <w:u w:val="single"/>
        </w:rPr>
        <w:t xml:space="preserve">  </w:t>
      </w:r>
      <w:r>
        <w:rPr>
          <w:rFonts w:ascii="宋体" w:hAnsi="宋体"/>
          <w:color w:val="auto"/>
          <w:sz w:val="22"/>
          <w:szCs w:val="22"/>
          <w:highlight w:val="none"/>
        </w:rPr>
        <w:t>年</w:t>
      </w:r>
      <w:r>
        <w:rPr>
          <w:rFonts w:hint="eastAsia" w:ascii="宋体" w:hAnsi="宋体"/>
          <w:color w:val="auto"/>
          <w:sz w:val="22"/>
          <w:szCs w:val="22"/>
          <w:highlight w:val="none"/>
          <w:u w:val="single"/>
          <w:lang w:val="en-US" w:eastAsia="zh-CN"/>
        </w:rPr>
        <w:t>09</w:t>
      </w:r>
      <w:r>
        <w:rPr>
          <w:rFonts w:ascii="宋体" w:hAnsi="宋体"/>
          <w:color w:val="auto"/>
          <w:sz w:val="22"/>
          <w:szCs w:val="22"/>
          <w:highlight w:val="none"/>
        </w:rPr>
        <w:t>月</w:t>
      </w:r>
      <w:r>
        <w:rPr>
          <w:rFonts w:hint="eastAsia" w:ascii="宋体" w:hAnsi="宋体"/>
          <w:color w:val="auto"/>
          <w:sz w:val="22"/>
          <w:szCs w:val="22"/>
          <w:highlight w:val="none"/>
          <w:u w:val="single"/>
          <w:lang w:val="en-US" w:eastAsia="zh-CN"/>
        </w:rPr>
        <w:t>03</w:t>
      </w:r>
      <w:r>
        <w:rPr>
          <w:rFonts w:ascii="宋体" w:hAnsi="宋体"/>
          <w:color w:val="auto"/>
          <w:sz w:val="22"/>
          <w:szCs w:val="22"/>
          <w:highlight w:val="none"/>
        </w:rPr>
        <w:t>日</w:t>
      </w:r>
      <w:r>
        <w:rPr>
          <w:rFonts w:hint="eastAsia" w:ascii="宋体" w:hAnsi="宋体"/>
          <w:color w:val="auto"/>
          <w:sz w:val="22"/>
          <w:szCs w:val="22"/>
          <w:highlight w:val="none"/>
          <w:u w:val="single"/>
          <w:lang w:val="en-US" w:eastAsia="zh-CN"/>
        </w:rPr>
        <w:t>09</w:t>
      </w:r>
      <w:r>
        <w:rPr>
          <w:rFonts w:ascii="宋体" w:hAnsi="宋体"/>
          <w:color w:val="auto"/>
          <w:sz w:val="22"/>
          <w:szCs w:val="22"/>
          <w:highlight w:val="none"/>
        </w:rPr>
        <w:t>时</w:t>
      </w:r>
      <w:r>
        <w:rPr>
          <w:rFonts w:hint="eastAsia" w:ascii="宋体" w:hAnsi="宋体"/>
          <w:color w:val="auto"/>
          <w:sz w:val="22"/>
          <w:szCs w:val="22"/>
          <w:highlight w:val="none"/>
          <w:u w:val="single"/>
          <w:lang w:val="en-US" w:eastAsia="zh-CN"/>
        </w:rPr>
        <w:t>30</w:t>
      </w:r>
      <w:r>
        <w:rPr>
          <w:rFonts w:ascii="宋体" w:hAnsi="宋体"/>
          <w:color w:val="auto"/>
          <w:sz w:val="22"/>
          <w:szCs w:val="22"/>
          <w:highlight w:val="none"/>
        </w:rPr>
        <w:t xml:space="preserve">分开标，此时间以前不得开封； </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（4）投标人名称：</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w:t>
      </w:r>
    </w:p>
    <w:p>
      <w:pPr>
        <w:pStyle w:val="116"/>
        <w:numPr>
          <w:ilvl w:val="0"/>
          <w:numId w:val="27"/>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如果投标文件未按本须知第18.1～18.4款的规定装订和加写标记及密封，</w:t>
      </w:r>
      <w:r>
        <w:rPr>
          <w:rFonts w:hint="eastAsia" w:ascii="宋体" w:hAnsi="宋体"/>
          <w:color w:val="auto"/>
          <w:sz w:val="22"/>
          <w:szCs w:val="22"/>
          <w:highlight w:val="none"/>
        </w:rPr>
        <w:t>招标</w:t>
      </w:r>
      <w:r>
        <w:rPr>
          <w:rFonts w:ascii="宋体" w:hAnsi="宋体"/>
          <w:color w:val="auto"/>
          <w:sz w:val="22"/>
          <w:szCs w:val="22"/>
          <w:highlight w:val="none"/>
        </w:rPr>
        <w:t>代理机构将不承担投标文件提前开封的责任。对由此造成提前开封的投标文件将予以拒绝，并退还给投标人。</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85" w:name="_Toc439325685"/>
      <w:bookmarkStart w:id="86" w:name="_Toc61529831"/>
      <w:bookmarkStart w:id="87" w:name="_Toc441844075"/>
      <w:r>
        <w:rPr>
          <w:rFonts w:ascii="宋体" w:hAnsi="宋体"/>
          <w:b/>
          <w:bCs/>
          <w:color w:val="auto"/>
          <w:sz w:val="22"/>
          <w:szCs w:val="22"/>
          <w:highlight w:val="none"/>
        </w:rPr>
        <w:t>投标截止时间</w:t>
      </w:r>
      <w:bookmarkEnd w:id="85"/>
      <w:bookmarkEnd w:id="86"/>
      <w:bookmarkEnd w:id="87"/>
    </w:p>
    <w:p>
      <w:pPr>
        <w:pStyle w:val="116"/>
        <w:numPr>
          <w:ilvl w:val="0"/>
          <w:numId w:val="28"/>
        </w:numPr>
        <w:spacing w:line="360" w:lineRule="auto"/>
        <w:ind w:left="567" w:hanging="567" w:firstLineChars="0"/>
        <w:rPr>
          <w:rFonts w:ascii="宋体" w:hAnsi="宋体"/>
          <w:color w:val="auto"/>
          <w:sz w:val="22"/>
          <w:szCs w:val="22"/>
          <w:highlight w:val="none"/>
        </w:rPr>
      </w:pPr>
      <w:r>
        <w:rPr>
          <w:rFonts w:hint="eastAsia" w:ascii="宋体" w:hAnsi="宋体" w:eastAsia="宋体"/>
          <w:color w:val="auto"/>
          <w:sz w:val="22"/>
          <w:szCs w:val="22"/>
          <w:highlight w:val="none"/>
          <w:lang w:val="zh-CN"/>
        </w:rPr>
        <w:t>招标</w:t>
      </w:r>
      <w:r>
        <w:rPr>
          <w:rFonts w:ascii="宋体" w:hAnsi="宋体" w:eastAsia="宋体"/>
          <w:color w:val="auto"/>
          <w:sz w:val="22"/>
          <w:szCs w:val="22"/>
          <w:highlight w:val="none"/>
          <w:lang w:val="zh-CN"/>
        </w:rPr>
        <w:t>代理机构在本须知第22.1条规定的地址收到投标的时间不迟于</w:t>
      </w:r>
      <w:r>
        <w:rPr>
          <w:rFonts w:hint="eastAsia" w:ascii="宋体" w:hAnsi="宋体" w:eastAsia="宋体"/>
          <w:color w:val="auto"/>
          <w:sz w:val="22"/>
          <w:szCs w:val="22"/>
          <w:highlight w:val="none"/>
          <w:lang w:val="zh-CN"/>
        </w:rPr>
        <w:t>第一章投标邀请函中所规定的时间。</w:t>
      </w:r>
    </w:p>
    <w:p>
      <w:pPr>
        <w:pStyle w:val="116"/>
        <w:numPr>
          <w:ilvl w:val="0"/>
          <w:numId w:val="28"/>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招标人</w:t>
      </w:r>
      <w:r>
        <w:rPr>
          <w:rFonts w:ascii="宋体" w:hAnsi="宋体"/>
          <w:color w:val="auto"/>
          <w:sz w:val="22"/>
          <w:szCs w:val="22"/>
          <w:highlight w:val="none"/>
        </w:rPr>
        <w:t>可以按本须知第9条规定，通过修改招标文件自行决定酌情延长投标截止时间。在此情况下，</w:t>
      </w:r>
      <w:r>
        <w:rPr>
          <w:rFonts w:hint="eastAsia" w:ascii="宋体" w:hAnsi="宋体"/>
          <w:color w:val="auto"/>
          <w:sz w:val="22"/>
          <w:szCs w:val="22"/>
          <w:highlight w:val="none"/>
        </w:rPr>
        <w:t>招标</w:t>
      </w:r>
      <w:r>
        <w:rPr>
          <w:rFonts w:ascii="宋体" w:hAnsi="宋体"/>
          <w:color w:val="auto"/>
          <w:sz w:val="22"/>
          <w:szCs w:val="22"/>
          <w:highlight w:val="none"/>
        </w:rPr>
        <w:t>代理机构、</w:t>
      </w:r>
      <w:r>
        <w:rPr>
          <w:rFonts w:hint="eastAsia" w:ascii="宋体" w:hAnsi="宋体"/>
          <w:color w:val="auto"/>
          <w:sz w:val="22"/>
          <w:szCs w:val="22"/>
          <w:highlight w:val="none"/>
        </w:rPr>
        <w:t>招标</w:t>
      </w:r>
      <w:r>
        <w:rPr>
          <w:rFonts w:ascii="宋体" w:hAnsi="宋体"/>
          <w:color w:val="auto"/>
          <w:sz w:val="22"/>
          <w:szCs w:val="22"/>
          <w:highlight w:val="none"/>
        </w:rPr>
        <w:t>人和投标人受投标截止时间制约的所有权利和义务均应延长至新的截止时间。</w:t>
      </w:r>
    </w:p>
    <w:p>
      <w:pPr>
        <w:pStyle w:val="116"/>
        <w:numPr>
          <w:ilvl w:val="0"/>
          <w:numId w:val="28"/>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招标</w:t>
      </w:r>
      <w:r>
        <w:rPr>
          <w:rFonts w:ascii="宋体" w:hAnsi="宋体"/>
          <w:color w:val="auto"/>
          <w:sz w:val="22"/>
          <w:szCs w:val="22"/>
          <w:highlight w:val="none"/>
        </w:rPr>
        <w:t>代理机构于开标前</w:t>
      </w:r>
      <w:r>
        <w:rPr>
          <w:rFonts w:ascii="宋体" w:hAnsi="宋体"/>
          <w:b/>
          <w:color w:val="auto"/>
          <w:sz w:val="22"/>
          <w:szCs w:val="22"/>
          <w:highlight w:val="none"/>
        </w:rPr>
        <w:t>（30）</w:t>
      </w:r>
      <w:r>
        <w:rPr>
          <w:rFonts w:ascii="宋体" w:hAnsi="宋体"/>
          <w:color w:val="auto"/>
          <w:sz w:val="22"/>
          <w:szCs w:val="22"/>
          <w:highlight w:val="none"/>
        </w:rPr>
        <w:t>分钟开始接收投标文件。</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88" w:name="_Toc441844076"/>
      <w:bookmarkStart w:id="89" w:name="_Toc439325686"/>
      <w:bookmarkStart w:id="90" w:name="_Toc61529832"/>
      <w:r>
        <w:rPr>
          <w:rFonts w:ascii="宋体" w:hAnsi="宋体"/>
          <w:b/>
          <w:bCs/>
          <w:color w:val="auto"/>
          <w:sz w:val="22"/>
          <w:szCs w:val="22"/>
          <w:highlight w:val="none"/>
        </w:rPr>
        <w:t>迟交的投标文件</w:t>
      </w:r>
      <w:bookmarkEnd w:id="88"/>
      <w:bookmarkEnd w:id="89"/>
      <w:bookmarkEnd w:id="90"/>
    </w:p>
    <w:p>
      <w:pPr>
        <w:pStyle w:val="116"/>
        <w:numPr>
          <w:ilvl w:val="0"/>
          <w:numId w:val="29"/>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招标代理机构将拒绝并原封退回在本须知第</w:t>
      </w:r>
      <w:r>
        <w:rPr>
          <w:rFonts w:ascii="宋体" w:hAnsi="宋体"/>
          <w:color w:val="auto"/>
          <w:sz w:val="22"/>
          <w:szCs w:val="22"/>
          <w:highlight w:val="none"/>
        </w:rPr>
        <w:t>22.1</w:t>
      </w:r>
      <w:r>
        <w:rPr>
          <w:rFonts w:hint="eastAsia" w:ascii="宋体" w:hAnsi="宋体"/>
          <w:color w:val="auto"/>
          <w:sz w:val="22"/>
          <w:szCs w:val="22"/>
          <w:highlight w:val="none"/>
        </w:rPr>
        <w:t>条规定的截止时间后收到的任何投标文件。</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91" w:name="_Toc61529833"/>
      <w:bookmarkStart w:id="92" w:name="_Toc439325687"/>
      <w:bookmarkStart w:id="93" w:name="_Toc441844077"/>
      <w:r>
        <w:rPr>
          <w:rFonts w:ascii="宋体" w:hAnsi="宋体"/>
          <w:b/>
          <w:bCs/>
          <w:color w:val="auto"/>
          <w:sz w:val="22"/>
          <w:szCs w:val="22"/>
          <w:highlight w:val="none"/>
        </w:rPr>
        <w:t>投标文件的修改与撤回</w:t>
      </w:r>
      <w:bookmarkEnd w:id="91"/>
      <w:bookmarkEnd w:id="92"/>
      <w:bookmarkEnd w:id="93"/>
    </w:p>
    <w:p>
      <w:pPr>
        <w:pStyle w:val="116"/>
        <w:numPr>
          <w:ilvl w:val="0"/>
          <w:numId w:val="30"/>
        </w:numPr>
        <w:spacing w:line="360" w:lineRule="auto"/>
        <w:ind w:left="567" w:hanging="567" w:firstLineChars="0"/>
        <w:rPr>
          <w:rFonts w:ascii="宋体" w:hAnsi="宋体" w:eastAsia="宋体" w:cs="Arial"/>
          <w:color w:val="auto"/>
          <w:sz w:val="22"/>
          <w:szCs w:val="22"/>
          <w:highlight w:val="none"/>
          <w:lang w:val="zh-CN"/>
        </w:rPr>
      </w:pPr>
      <w:r>
        <w:rPr>
          <w:rFonts w:hint="eastAsia" w:ascii="宋体" w:hAnsi="宋体" w:eastAsia="宋体" w:cs="Arial"/>
          <w:color w:val="auto"/>
          <w:sz w:val="22"/>
          <w:szCs w:val="22"/>
          <w:highlight w:val="none"/>
          <w:lang w:val="zh-CN"/>
        </w:rPr>
        <w:t>投标人在递交投标文件后，可以修改或撤回其投标，但招标代理机构必须在第</w:t>
      </w:r>
      <w:r>
        <w:rPr>
          <w:rFonts w:ascii="宋体" w:hAnsi="宋体" w:eastAsia="宋体" w:cs="Arial"/>
          <w:color w:val="auto"/>
          <w:sz w:val="22"/>
          <w:szCs w:val="22"/>
          <w:highlight w:val="none"/>
          <w:lang w:val="zh-CN"/>
        </w:rPr>
        <w:t>19</w:t>
      </w:r>
      <w:r>
        <w:rPr>
          <w:rFonts w:hint="eastAsia" w:ascii="宋体" w:hAnsi="宋体" w:eastAsia="宋体" w:cs="Arial"/>
          <w:color w:val="auto"/>
          <w:sz w:val="22"/>
          <w:szCs w:val="22"/>
          <w:highlight w:val="none"/>
          <w:lang w:val="zh-CN"/>
        </w:rPr>
        <w:t>条规定的投标截止时间之前，收到修改或撤回的书面通知。</w:t>
      </w:r>
    </w:p>
    <w:p>
      <w:pPr>
        <w:pStyle w:val="116"/>
        <w:numPr>
          <w:ilvl w:val="0"/>
          <w:numId w:val="30"/>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投标人的修改或撤回通知应按本须知第18条规定编制、密封、标记和发送。</w:t>
      </w:r>
    </w:p>
    <w:p>
      <w:pPr>
        <w:pStyle w:val="116"/>
        <w:numPr>
          <w:ilvl w:val="0"/>
          <w:numId w:val="30"/>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在投标截止时间之后，投标人不得对其投标做任何修改。</w:t>
      </w:r>
    </w:p>
    <w:p>
      <w:pPr>
        <w:pStyle w:val="116"/>
        <w:numPr>
          <w:ilvl w:val="0"/>
          <w:numId w:val="30"/>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从投标截止时间至投标人在投标书格式中确定的投标有效期之间的这段时间内，投标人不得撤回其投标，否则其投标保证金将按照本须知第16.8条的规定被没收。</w:t>
      </w:r>
    </w:p>
    <w:p>
      <w:pPr>
        <w:pStyle w:val="4"/>
        <w:tabs>
          <w:tab w:val="left" w:pos="142"/>
          <w:tab w:val="clear" w:pos="1440"/>
        </w:tabs>
        <w:ind w:left="0" w:firstLine="0"/>
        <w:rPr>
          <w:rFonts w:ascii="宋体" w:hAnsi="宋体" w:eastAsia="宋体"/>
          <w:b w:val="0"/>
          <w:color w:val="auto"/>
          <w:sz w:val="22"/>
          <w:szCs w:val="22"/>
          <w:highlight w:val="none"/>
          <w:lang w:val="zh-CN"/>
        </w:rPr>
      </w:pPr>
      <w:bookmarkStart w:id="94" w:name="_Toc61529834"/>
      <w:bookmarkStart w:id="95" w:name="_Toc441844078"/>
      <w:r>
        <w:rPr>
          <w:rFonts w:ascii="宋体" w:hAnsi="宋体" w:eastAsia="宋体"/>
          <w:color w:val="auto"/>
          <w:sz w:val="22"/>
          <w:szCs w:val="22"/>
          <w:highlight w:val="none"/>
          <w:lang w:val="zh-CN"/>
        </w:rPr>
        <w:t>（五）开标与评标</w:t>
      </w:r>
      <w:bookmarkEnd w:id="94"/>
      <w:bookmarkEnd w:id="95"/>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96" w:name="_Toc439325690"/>
      <w:bookmarkStart w:id="97" w:name="_Toc61529835"/>
      <w:bookmarkStart w:id="98" w:name="_Toc441844079"/>
      <w:r>
        <w:rPr>
          <w:rFonts w:ascii="宋体" w:hAnsi="宋体"/>
          <w:b/>
          <w:bCs/>
          <w:color w:val="auto"/>
          <w:sz w:val="22"/>
          <w:szCs w:val="22"/>
          <w:highlight w:val="none"/>
        </w:rPr>
        <w:t>开标</w:t>
      </w:r>
      <w:bookmarkEnd w:id="96"/>
      <w:bookmarkEnd w:id="97"/>
      <w:bookmarkEnd w:id="98"/>
    </w:p>
    <w:p>
      <w:pPr>
        <w:pStyle w:val="116"/>
        <w:numPr>
          <w:ilvl w:val="0"/>
          <w:numId w:val="31"/>
        </w:numPr>
        <w:spacing w:line="360" w:lineRule="auto"/>
        <w:ind w:firstLineChars="0"/>
        <w:rPr>
          <w:rFonts w:ascii="宋体" w:hAnsi="宋体" w:eastAsia="宋体" w:cs="Arial"/>
          <w:color w:val="auto"/>
          <w:sz w:val="22"/>
          <w:szCs w:val="22"/>
          <w:highlight w:val="none"/>
          <w:lang w:val="zh-CN"/>
        </w:rPr>
      </w:pPr>
      <w:r>
        <w:rPr>
          <w:rFonts w:hint="eastAsia" w:ascii="宋体" w:hAnsi="宋体" w:eastAsia="宋体" w:cs="Arial"/>
          <w:color w:val="auto"/>
          <w:sz w:val="22"/>
          <w:szCs w:val="22"/>
          <w:highlight w:val="none"/>
          <w:lang w:val="zh-CN"/>
        </w:rPr>
        <w:t>招标</w:t>
      </w:r>
      <w:r>
        <w:rPr>
          <w:rFonts w:ascii="宋体" w:hAnsi="宋体" w:eastAsia="宋体" w:cs="Arial"/>
          <w:color w:val="auto"/>
          <w:sz w:val="22"/>
          <w:szCs w:val="22"/>
          <w:highlight w:val="none"/>
          <w:lang w:val="zh-CN"/>
        </w:rPr>
        <w:t>人和</w:t>
      </w:r>
      <w:r>
        <w:rPr>
          <w:rFonts w:hint="eastAsia" w:ascii="宋体" w:hAnsi="宋体" w:eastAsia="宋体" w:cs="Arial"/>
          <w:color w:val="auto"/>
          <w:sz w:val="22"/>
          <w:szCs w:val="22"/>
          <w:highlight w:val="none"/>
          <w:lang w:val="zh-CN"/>
        </w:rPr>
        <w:t>招标</w:t>
      </w:r>
      <w:r>
        <w:rPr>
          <w:rFonts w:ascii="宋体" w:hAnsi="宋体" w:eastAsia="宋体" w:cs="Arial"/>
          <w:color w:val="auto"/>
          <w:sz w:val="22"/>
          <w:szCs w:val="22"/>
          <w:highlight w:val="none"/>
          <w:lang w:val="zh-CN"/>
        </w:rPr>
        <w:t>代理机构在</w:t>
      </w:r>
      <w:r>
        <w:rPr>
          <w:rFonts w:hint="eastAsia" w:ascii="宋体" w:hAnsi="宋体" w:eastAsia="宋体" w:cs="Arial"/>
          <w:color w:val="auto"/>
          <w:sz w:val="22"/>
          <w:szCs w:val="22"/>
          <w:highlight w:val="none"/>
          <w:lang w:val="zh-CN"/>
        </w:rPr>
        <w:t>第一章投标邀请函中约定的时间和地点</w:t>
      </w:r>
      <w:r>
        <w:rPr>
          <w:rFonts w:ascii="宋体" w:hAnsi="宋体" w:eastAsia="宋体" w:cs="Arial"/>
          <w:color w:val="auto"/>
          <w:sz w:val="22"/>
          <w:szCs w:val="22"/>
          <w:highlight w:val="none"/>
          <w:lang w:val="zh-CN"/>
        </w:rPr>
        <w:t>组织公开开标。</w:t>
      </w:r>
    </w:p>
    <w:p>
      <w:pPr>
        <w:pStyle w:val="116"/>
        <w:numPr>
          <w:ilvl w:val="0"/>
          <w:numId w:val="31"/>
        </w:numPr>
        <w:spacing w:line="360" w:lineRule="auto"/>
        <w:ind w:left="567" w:hanging="567" w:firstLineChars="0"/>
        <w:rPr>
          <w:rFonts w:ascii="宋体" w:hAnsi="宋体"/>
          <w:bCs/>
          <w:color w:val="auto"/>
          <w:kern w:val="28"/>
          <w:sz w:val="22"/>
          <w:szCs w:val="22"/>
          <w:highlight w:val="none"/>
        </w:rPr>
      </w:pPr>
      <w:r>
        <w:rPr>
          <w:rFonts w:ascii="宋体" w:hAnsi="宋体"/>
          <w:bCs/>
          <w:color w:val="auto"/>
          <w:kern w:val="28"/>
          <w:sz w:val="22"/>
          <w:szCs w:val="22"/>
          <w:highlight w:val="none"/>
        </w:rPr>
        <w:t>开标程序</w:t>
      </w:r>
    </w:p>
    <w:p>
      <w:pPr>
        <w:pStyle w:val="116"/>
        <w:numPr>
          <w:ilvl w:val="0"/>
          <w:numId w:val="32"/>
        </w:numPr>
        <w:snapToGrid w:val="0"/>
        <w:spacing w:line="360" w:lineRule="auto"/>
        <w:ind w:left="709" w:hanging="709" w:firstLineChars="0"/>
        <w:rPr>
          <w:rFonts w:ascii="宋体" w:hAnsi="宋体"/>
          <w:bCs/>
          <w:color w:val="auto"/>
          <w:kern w:val="28"/>
          <w:sz w:val="22"/>
          <w:szCs w:val="22"/>
          <w:highlight w:val="none"/>
        </w:rPr>
      </w:pPr>
      <w:r>
        <w:rPr>
          <w:rFonts w:hint="eastAsia" w:ascii="宋体" w:hAnsi="宋体"/>
          <w:bCs/>
          <w:color w:val="auto"/>
          <w:kern w:val="28"/>
          <w:sz w:val="22"/>
          <w:szCs w:val="22"/>
          <w:highlight w:val="none"/>
        </w:rPr>
        <w:t>开标会由招标代理机构主持，投标人的法定代表人或其授权代表务必携带有效身份证明准时参加开标会并签名报到，以证明其出席。投标人的法定代表人或其授权代表未参加开标会的，视同认可开标结果。</w:t>
      </w:r>
    </w:p>
    <w:p>
      <w:pPr>
        <w:pStyle w:val="116"/>
        <w:numPr>
          <w:ilvl w:val="0"/>
          <w:numId w:val="32"/>
        </w:numPr>
        <w:snapToGrid w:val="0"/>
        <w:spacing w:line="360" w:lineRule="auto"/>
        <w:ind w:left="709" w:hanging="709" w:firstLineChars="0"/>
        <w:rPr>
          <w:rFonts w:ascii="宋体" w:hAnsi="宋体"/>
          <w:bCs/>
          <w:color w:val="auto"/>
          <w:kern w:val="28"/>
          <w:sz w:val="22"/>
          <w:szCs w:val="22"/>
          <w:highlight w:val="none"/>
        </w:rPr>
      </w:pPr>
      <w:r>
        <w:rPr>
          <w:rFonts w:ascii="宋体" w:hAnsi="宋体"/>
          <w:bCs/>
          <w:color w:val="auto"/>
          <w:kern w:val="28"/>
          <w:sz w:val="22"/>
          <w:szCs w:val="22"/>
          <w:highlight w:val="none"/>
        </w:rPr>
        <w:t>投标文件的密封等情况由采购人代表或</w:t>
      </w:r>
      <w:r>
        <w:rPr>
          <w:rFonts w:hint="eastAsia" w:ascii="宋体" w:hAnsi="宋体"/>
          <w:bCs/>
          <w:color w:val="auto"/>
          <w:kern w:val="28"/>
          <w:sz w:val="22"/>
          <w:szCs w:val="22"/>
          <w:highlight w:val="none"/>
        </w:rPr>
        <w:t>招标</w:t>
      </w:r>
      <w:r>
        <w:rPr>
          <w:rFonts w:ascii="宋体" w:hAnsi="宋体"/>
          <w:bCs/>
          <w:color w:val="auto"/>
          <w:kern w:val="28"/>
          <w:sz w:val="22"/>
          <w:szCs w:val="22"/>
          <w:highlight w:val="none"/>
        </w:rPr>
        <w:t>代理机构委托的公证机构（人员）检查，或由</w:t>
      </w:r>
      <w:r>
        <w:rPr>
          <w:rFonts w:hint="eastAsia" w:ascii="宋体" w:hAnsi="宋体"/>
          <w:bCs/>
          <w:color w:val="auto"/>
          <w:kern w:val="28"/>
          <w:sz w:val="22"/>
          <w:szCs w:val="22"/>
          <w:highlight w:val="none"/>
        </w:rPr>
        <w:t>招标</w:t>
      </w:r>
      <w:r>
        <w:rPr>
          <w:rFonts w:ascii="宋体" w:hAnsi="宋体"/>
          <w:bCs/>
          <w:color w:val="auto"/>
          <w:kern w:val="28"/>
          <w:sz w:val="22"/>
          <w:szCs w:val="22"/>
          <w:highlight w:val="none"/>
        </w:rPr>
        <w:t>人代表及投标文件第一递交登记人或投标人推选的代表检查。</w:t>
      </w:r>
    </w:p>
    <w:p>
      <w:pPr>
        <w:pStyle w:val="116"/>
        <w:numPr>
          <w:ilvl w:val="0"/>
          <w:numId w:val="32"/>
        </w:numPr>
        <w:snapToGrid w:val="0"/>
        <w:spacing w:line="360" w:lineRule="auto"/>
        <w:ind w:left="709" w:hanging="709" w:firstLineChars="0"/>
        <w:rPr>
          <w:rFonts w:ascii="宋体" w:hAnsi="宋体"/>
          <w:bCs/>
          <w:color w:val="auto"/>
          <w:kern w:val="28"/>
          <w:sz w:val="22"/>
          <w:szCs w:val="22"/>
          <w:highlight w:val="none"/>
        </w:rPr>
      </w:pPr>
      <w:r>
        <w:rPr>
          <w:rFonts w:ascii="宋体" w:hAnsi="宋体"/>
          <w:bCs/>
          <w:color w:val="auto"/>
          <w:kern w:val="28"/>
          <w:sz w:val="22"/>
          <w:szCs w:val="22"/>
          <w:highlight w:val="none"/>
        </w:rPr>
        <w:t>投标文件经检查无误后，采购代理机构当众拆封《唱标信封》，宣读投标人名称、</w:t>
      </w:r>
      <w:r>
        <w:rPr>
          <w:rFonts w:hint="eastAsia" w:ascii="宋体" w:hAnsi="宋体" w:cs="宋体"/>
          <w:bCs/>
          <w:color w:val="auto"/>
          <w:kern w:val="28"/>
          <w:sz w:val="22"/>
          <w:szCs w:val="22"/>
          <w:highlight w:val="none"/>
        </w:rPr>
        <w:t>投标价格、价格折扣</w:t>
      </w:r>
      <w:r>
        <w:rPr>
          <w:rFonts w:ascii="宋体" w:hAnsi="宋体"/>
          <w:bCs/>
          <w:color w:val="auto"/>
          <w:kern w:val="28"/>
          <w:sz w:val="22"/>
          <w:szCs w:val="22"/>
          <w:highlight w:val="none"/>
        </w:rPr>
        <w:t>及投标</w:t>
      </w:r>
      <w:r>
        <w:rPr>
          <w:rFonts w:hint="eastAsia" w:ascii="宋体" w:hAnsi="宋体"/>
          <w:bCs/>
          <w:color w:val="auto"/>
          <w:kern w:val="28"/>
          <w:sz w:val="22"/>
          <w:szCs w:val="22"/>
          <w:highlight w:val="none"/>
        </w:rPr>
        <w:t>报价一览表的</w:t>
      </w:r>
      <w:r>
        <w:rPr>
          <w:rFonts w:ascii="宋体" w:hAnsi="宋体"/>
          <w:bCs/>
          <w:color w:val="auto"/>
          <w:kern w:val="28"/>
          <w:sz w:val="22"/>
          <w:szCs w:val="22"/>
          <w:highlight w:val="none"/>
        </w:rPr>
        <w:t>其他主要内容。</w:t>
      </w:r>
    </w:p>
    <w:p>
      <w:pPr>
        <w:pStyle w:val="116"/>
        <w:numPr>
          <w:ilvl w:val="0"/>
          <w:numId w:val="32"/>
        </w:numPr>
        <w:snapToGrid w:val="0"/>
        <w:spacing w:line="360" w:lineRule="auto"/>
        <w:ind w:left="709" w:hanging="709" w:firstLineChars="0"/>
        <w:rPr>
          <w:rFonts w:ascii="宋体" w:hAnsi="宋体"/>
          <w:bCs/>
          <w:color w:val="auto"/>
          <w:kern w:val="28"/>
          <w:sz w:val="22"/>
          <w:szCs w:val="22"/>
          <w:highlight w:val="none"/>
        </w:rPr>
      </w:pPr>
      <w:r>
        <w:rPr>
          <w:rFonts w:ascii="宋体" w:hAnsi="宋体"/>
          <w:bCs/>
          <w:color w:val="auto"/>
          <w:kern w:val="28"/>
          <w:sz w:val="22"/>
          <w:szCs w:val="22"/>
          <w:highlight w:val="none"/>
        </w:rPr>
        <w:t>若采购代理机构宣读的结果与《唱标信封》</w:t>
      </w:r>
      <w:r>
        <w:rPr>
          <w:rFonts w:hint="eastAsia" w:ascii="宋体" w:hAnsi="宋体"/>
          <w:bCs/>
          <w:color w:val="auto"/>
          <w:kern w:val="28"/>
          <w:sz w:val="22"/>
          <w:szCs w:val="22"/>
          <w:highlight w:val="none"/>
        </w:rPr>
        <w:t>内容</w:t>
      </w:r>
      <w:r>
        <w:rPr>
          <w:rFonts w:ascii="宋体" w:hAnsi="宋体"/>
          <w:bCs/>
          <w:color w:val="auto"/>
          <w:kern w:val="28"/>
          <w:sz w:val="22"/>
          <w:szCs w:val="22"/>
          <w:highlight w:val="none"/>
        </w:rPr>
        <w:t>不符，投标人有权当场提出异议，经采购人或采购代理机构委托的公证机构（人员），或采购人及采购代理机构当场核查确认有误的，可重新宣读其《唱标信封》情况。若投标人当场未提出异议，则视为投标人已确认采购代理机构人宣读的结果。</w:t>
      </w:r>
    </w:p>
    <w:p>
      <w:pPr>
        <w:pStyle w:val="116"/>
        <w:numPr>
          <w:ilvl w:val="0"/>
          <w:numId w:val="32"/>
        </w:numPr>
        <w:snapToGrid w:val="0"/>
        <w:spacing w:line="360" w:lineRule="auto"/>
        <w:ind w:left="709" w:hanging="709" w:firstLineChars="0"/>
        <w:rPr>
          <w:rFonts w:hAnsi="宋体"/>
          <w:color w:val="auto"/>
          <w:sz w:val="22"/>
          <w:szCs w:val="22"/>
          <w:highlight w:val="none"/>
        </w:rPr>
      </w:pPr>
      <w:r>
        <w:rPr>
          <w:rFonts w:hint="eastAsia" w:hAnsi="宋体"/>
          <w:color w:val="auto"/>
          <w:sz w:val="22"/>
          <w:szCs w:val="22"/>
          <w:highlight w:val="none"/>
        </w:rPr>
        <w:t>投标人对开标有异议的，应当在开标现场提出，采购代理机构应当当场作出答复，并制作记录。</w:t>
      </w:r>
    </w:p>
    <w:p>
      <w:pPr>
        <w:pStyle w:val="116"/>
        <w:numPr>
          <w:ilvl w:val="0"/>
          <w:numId w:val="32"/>
        </w:numPr>
        <w:snapToGrid w:val="0"/>
        <w:spacing w:line="360" w:lineRule="auto"/>
        <w:ind w:left="709" w:hanging="709" w:firstLineChars="0"/>
        <w:rPr>
          <w:rFonts w:hAnsi="宋体"/>
          <w:color w:val="auto"/>
          <w:sz w:val="22"/>
          <w:szCs w:val="22"/>
          <w:highlight w:val="none"/>
        </w:rPr>
      </w:pPr>
      <w:r>
        <w:rPr>
          <w:rFonts w:hint="eastAsia" w:hAnsi="宋体"/>
          <w:color w:val="auto"/>
          <w:sz w:val="22"/>
          <w:szCs w:val="22"/>
          <w:highlight w:val="none"/>
        </w:rPr>
        <w:t>采购代理机构</w:t>
      </w:r>
      <w:r>
        <w:rPr>
          <w:rFonts w:hAnsi="宋体"/>
          <w:color w:val="auto"/>
          <w:sz w:val="22"/>
          <w:szCs w:val="22"/>
          <w:highlight w:val="none"/>
        </w:rPr>
        <w:t>将做</w:t>
      </w:r>
      <w:r>
        <w:rPr>
          <w:rFonts w:hint="eastAsia" w:hAnsi="宋体"/>
          <w:color w:val="auto"/>
          <w:sz w:val="22"/>
          <w:szCs w:val="22"/>
          <w:highlight w:val="none"/>
        </w:rPr>
        <w:t>开标</w:t>
      </w:r>
      <w:r>
        <w:rPr>
          <w:rFonts w:hAnsi="宋体"/>
          <w:color w:val="auto"/>
          <w:sz w:val="22"/>
          <w:szCs w:val="22"/>
          <w:highlight w:val="none"/>
        </w:rPr>
        <w:t>记录</w:t>
      </w:r>
      <w:r>
        <w:rPr>
          <w:rFonts w:hint="eastAsia" w:hAnsi="宋体"/>
          <w:color w:val="auto"/>
          <w:sz w:val="22"/>
          <w:szCs w:val="22"/>
          <w:highlight w:val="none"/>
        </w:rPr>
        <w:t>，开标记录</w:t>
      </w:r>
      <w:r>
        <w:rPr>
          <w:rFonts w:hint="eastAsia" w:ascii="宋体" w:hAnsi="宋体"/>
          <w:color w:val="auto"/>
          <w:sz w:val="22"/>
          <w:szCs w:val="22"/>
          <w:highlight w:val="none"/>
        </w:rPr>
        <w:t>包括第</w:t>
      </w:r>
      <w:r>
        <w:rPr>
          <w:rFonts w:ascii="宋体" w:hAnsi="宋体"/>
          <w:color w:val="auto"/>
          <w:sz w:val="22"/>
          <w:szCs w:val="22"/>
          <w:highlight w:val="none"/>
        </w:rPr>
        <w:t>22.2.5</w:t>
      </w:r>
      <w:r>
        <w:rPr>
          <w:rFonts w:hint="eastAsia" w:ascii="宋体" w:hAnsi="宋体"/>
          <w:color w:val="auto"/>
          <w:sz w:val="22"/>
          <w:szCs w:val="22"/>
          <w:highlight w:val="none"/>
        </w:rPr>
        <w:t>款发生</w:t>
      </w:r>
      <w:r>
        <w:rPr>
          <w:rFonts w:hint="eastAsia" w:hAnsi="宋体"/>
          <w:color w:val="auto"/>
          <w:sz w:val="22"/>
          <w:szCs w:val="22"/>
          <w:highlight w:val="none"/>
        </w:rPr>
        <w:t>的异议及答复、按第</w:t>
      </w:r>
      <w:r>
        <w:rPr>
          <w:rFonts w:ascii="宋体" w:hAnsi="宋体"/>
          <w:color w:val="auto"/>
          <w:sz w:val="22"/>
          <w:szCs w:val="22"/>
          <w:highlight w:val="none"/>
        </w:rPr>
        <w:t>22.2.4</w:t>
      </w:r>
      <w:r>
        <w:rPr>
          <w:rFonts w:hAnsi="宋体"/>
          <w:color w:val="auto"/>
          <w:sz w:val="22"/>
          <w:szCs w:val="22"/>
          <w:highlight w:val="none"/>
        </w:rPr>
        <w:t>款的规定在开标时宣读的全部内容。</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99" w:name="_Toc439325688"/>
      <w:bookmarkStart w:id="100" w:name="_Toc61529836"/>
      <w:bookmarkStart w:id="101" w:name="_Toc441844080"/>
      <w:r>
        <w:rPr>
          <w:rFonts w:ascii="宋体" w:hAnsi="宋体"/>
          <w:b/>
          <w:bCs/>
          <w:color w:val="auto"/>
          <w:sz w:val="22"/>
          <w:szCs w:val="22"/>
          <w:highlight w:val="none"/>
        </w:rPr>
        <w:t>评标委员会</w:t>
      </w:r>
      <w:bookmarkEnd w:id="99"/>
      <w:bookmarkEnd w:id="100"/>
      <w:bookmarkEnd w:id="101"/>
    </w:p>
    <w:p>
      <w:pPr>
        <w:pStyle w:val="116"/>
        <w:numPr>
          <w:ilvl w:val="0"/>
          <w:numId w:val="33"/>
        </w:numPr>
        <w:spacing w:line="360" w:lineRule="auto"/>
        <w:ind w:left="567" w:hanging="567" w:firstLineChars="0"/>
        <w:rPr>
          <w:rFonts w:ascii="宋体" w:hAnsi="宋体" w:eastAsia="宋体" w:cs="Arial"/>
          <w:color w:val="auto"/>
          <w:sz w:val="22"/>
          <w:szCs w:val="22"/>
          <w:highlight w:val="none"/>
          <w:lang w:val="zh-CN"/>
        </w:rPr>
      </w:pPr>
      <w:r>
        <w:rPr>
          <w:rFonts w:hint="eastAsia" w:ascii="宋体" w:hAnsi="宋体" w:eastAsia="宋体" w:cs="Arial"/>
          <w:color w:val="auto"/>
          <w:sz w:val="22"/>
          <w:szCs w:val="22"/>
          <w:highlight w:val="none"/>
          <w:lang w:val="zh-CN"/>
        </w:rPr>
        <w:t>依法组成评标委员会，评标委员会由采购人和有关技术、经济等方面的专家组成，成员人数为不少于</w:t>
      </w:r>
      <w:r>
        <w:rPr>
          <w:rFonts w:ascii="宋体" w:hAnsi="宋体" w:eastAsia="宋体" w:cs="Arial"/>
          <w:color w:val="auto"/>
          <w:sz w:val="22"/>
          <w:szCs w:val="22"/>
          <w:highlight w:val="none"/>
          <w:lang w:val="zh-CN"/>
        </w:rPr>
        <w:t>5</w:t>
      </w:r>
      <w:r>
        <w:rPr>
          <w:rFonts w:hint="eastAsia" w:ascii="宋体" w:hAnsi="宋体" w:eastAsia="宋体" w:cs="Arial"/>
          <w:color w:val="auto"/>
          <w:sz w:val="22"/>
          <w:szCs w:val="22"/>
          <w:highlight w:val="none"/>
          <w:lang w:val="zh-CN"/>
        </w:rPr>
        <w:t>人以上单数，其中技术、经济等方面的专家不少于成员总数的三分之二。</w:t>
      </w:r>
    </w:p>
    <w:p>
      <w:pPr>
        <w:pStyle w:val="116"/>
        <w:numPr>
          <w:ilvl w:val="0"/>
          <w:numId w:val="33"/>
        </w:numPr>
        <w:spacing w:line="360" w:lineRule="auto"/>
        <w:ind w:left="567" w:hanging="567" w:firstLineChars="0"/>
        <w:rPr>
          <w:rFonts w:ascii="宋体" w:hAnsi="宋体"/>
          <w:color w:val="auto"/>
          <w:sz w:val="22"/>
          <w:szCs w:val="22"/>
          <w:highlight w:val="none"/>
          <w:lang w:val="zh-CN"/>
        </w:rPr>
      </w:pPr>
      <w:r>
        <w:rPr>
          <w:rFonts w:ascii="宋体" w:hAnsi="宋体"/>
          <w:color w:val="auto"/>
          <w:sz w:val="22"/>
          <w:szCs w:val="22"/>
          <w:highlight w:val="none"/>
          <w:lang w:val="zh-CN"/>
        </w:rPr>
        <w:t>评标委员会将只对确定为实质上响应招标文件要求的投标，即对</w:t>
      </w:r>
      <w:r>
        <w:rPr>
          <w:rFonts w:hint="eastAsia" w:ascii="宋体" w:hAnsi="宋体"/>
          <w:color w:val="auto"/>
          <w:sz w:val="22"/>
          <w:szCs w:val="22"/>
          <w:highlight w:val="none"/>
          <w:lang w:val="zh-CN"/>
        </w:rPr>
        <w:t>资格、符合性审查合格的投标文件进行商务和技术评估</w:t>
      </w:r>
      <w:r>
        <w:rPr>
          <w:rFonts w:ascii="宋体" w:hAnsi="宋体"/>
          <w:color w:val="auto"/>
          <w:sz w:val="22"/>
          <w:szCs w:val="22"/>
          <w:highlight w:val="none"/>
          <w:lang w:val="zh-CN"/>
        </w:rPr>
        <w:t>，响应的依据是招标文件本身的内容，而不寻求其它证据。实质上响应的投标应该是与招标文件要求的全部主要条款、条件和规格相符，没有重大偏离的投标。</w:t>
      </w:r>
    </w:p>
    <w:p>
      <w:pPr>
        <w:pStyle w:val="116"/>
        <w:numPr>
          <w:ilvl w:val="0"/>
          <w:numId w:val="33"/>
        </w:numPr>
        <w:spacing w:line="360" w:lineRule="auto"/>
        <w:ind w:left="567" w:hanging="567" w:firstLineChars="0"/>
        <w:rPr>
          <w:rFonts w:ascii="宋体" w:hAnsi="宋体"/>
          <w:color w:val="auto"/>
          <w:sz w:val="22"/>
          <w:szCs w:val="22"/>
          <w:highlight w:val="none"/>
          <w:lang w:val="zh-CN"/>
        </w:rPr>
      </w:pPr>
      <w:r>
        <w:rPr>
          <w:rFonts w:ascii="宋体" w:hAnsi="宋体"/>
          <w:color w:val="auto"/>
          <w:sz w:val="22"/>
          <w:szCs w:val="22"/>
          <w:highlight w:val="none"/>
          <w:lang w:val="zh-CN"/>
        </w:rPr>
        <w:t>评标委员会依法根据招标文件的规定，进行投标文件的评审、得出评审结果，评标委员会递交评标报告并依法向招标人推荐中标候选人。</w:t>
      </w:r>
    </w:p>
    <w:p>
      <w:pPr>
        <w:pStyle w:val="116"/>
        <w:numPr>
          <w:ilvl w:val="0"/>
          <w:numId w:val="33"/>
        </w:numPr>
        <w:spacing w:line="360" w:lineRule="auto"/>
        <w:ind w:left="567" w:hanging="567" w:firstLineChars="0"/>
        <w:rPr>
          <w:rFonts w:ascii="宋体" w:hAnsi="宋体"/>
          <w:color w:val="auto"/>
          <w:sz w:val="22"/>
          <w:szCs w:val="22"/>
          <w:highlight w:val="none"/>
          <w:lang w:val="zh-CN"/>
        </w:rPr>
      </w:pPr>
      <w:r>
        <w:rPr>
          <w:rFonts w:ascii="宋体" w:hAnsi="宋体"/>
          <w:color w:val="auto"/>
          <w:sz w:val="22"/>
          <w:szCs w:val="22"/>
          <w:highlight w:val="none"/>
          <w:lang w:val="zh-CN"/>
        </w:rPr>
        <w:t>所有参加评标人员必须遵守国家、地方政府以及</w:t>
      </w:r>
      <w:r>
        <w:rPr>
          <w:rFonts w:hint="eastAsia" w:ascii="宋体" w:hAnsi="宋体"/>
          <w:color w:val="auto"/>
          <w:sz w:val="22"/>
          <w:szCs w:val="22"/>
          <w:highlight w:val="none"/>
          <w:lang w:val="zh-CN"/>
        </w:rPr>
        <w:t>东莞市轨道交通有限公司</w:t>
      </w:r>
      <w:r>
        <w:rPr>
          <w:rFonts w:ascii="宋体" w:hAnsi="宋体"/>
          <w:color w:val="auto"/>
          <w:sz w:val="22"/>
          <w:szCs w:val="22"/>
          <w:highlight w:val="none"/>
          <w:lang w:val="zh-CN"/>
        </w:rPr>
        <w:t>制定的有关</w:t>
      </w:r>
      <w:r>
        <w:rPr>
          <w:rFonts w:hint="eastAsia" w:ascii="宋体" w:hAnsi="宋体"/>
          <w:color w:val="auto"/>
          <w:sz w:val="22"/>
          <w:szCs w:val="22"/>
          <w:highlight w:val="none"/>
          <w:lang w:val="zh-CN"/>
        </w:rPr>
        <w:t>招标</w:t>
      </w:r>
      <w:r>
        <w:rPr>
          <w:rFonts w:ascii="宋体" w:hAnsi="宋体"/>
          <w:color w:val="auto"/>
          <w:sz w:val="22"/>
          <w:szCs w:val="22"/>
          <w:highlight w:val="none"/>
          <w:lang w:val="zh-CN"/>
        </w:rPr>
        <w:t>采购的法则、规定，遵守有关</w:t>
      </w:r>
      <w:r>
        <w:rPr>
          <w:rFonts w:hint="eastAsia" w:ascii="宋体" w:hAnsi="宋体"/>
          <w:color w:val="auto"/>
          <w:sz w:val="22"/>
          <w:szCs w:val="22"/>
          <w:highlight w:val="none"/>
          <w:lang w:val="zh-CN"/>
        </w:rPr>
        <w:t>招标</w:t>
      </w:r>
      <w:r>
        <w:rPr>
          <w:rFonts w:ascii="宋体" w:hAnsi="宋体"/>
          <w:color w:val="auto"/>
          <w:sz w:val="22"/>
          <w:szCs w:val="22"/>
          <w:highlight w:val="none"/>
          <w:lang w:val="zh-CN"/>
        </w:rPr>
        <w:t>采购的保密制度；如有违反者，给予行政处分；情节严重，构成犯罪的，由司法机关依法追究其刑事责任。</w:t>
      </w:r>
    </w:p>
    <w:p>
      <w:pPr>
        <w:pStyle w:val="116"/>
        <w:numPr>
          <w:ilvl w:val="0"/>
          <w:numId w:val="33"/>
        </w:numPr>
        <w:spacing w:line="360" w:lineRule="auto"/>
        <w:ind w:left="567" w:hanging="567" w:firstLineChars="0"/>
        <w:rPr>
          <w:rFonts w:ascii="宋体" w:hAnsi="宋体"/>
          <w:color w:val="auto"/>
          <w:sz w:val="22"/>
          <w:szCs w:val="22"/>
          <w:highlight w:val="none"/>
          <w:lang w:val="zh-CN"/>
        </w:rPr>
      </w:pPr>
      <w:r>
        <w:rPr>
          <w:rFonts w:ascii="宋体" w:hAnsi="宋体"/>
          <w:color w:val="auto"/>
          <w:sz w:val="22"/>
          <w:szCs w:val="22"/>
          <w:highlight w:val="none"/>
          <w:lang w:val="zh-CN"/>
        </w:rPr>
        <w:t>全体参与评标人员：</w:t>
      </w:r>
    </w:p>
    <w:p>
      <w:pPr>
        <w:pStyle w:val="116"/>
        <w:numPr>
          <w:ilvl w:val="0"/>
          <w:numId w:val="34"/>
        </w:numPr>
        <w:spacing w:line="360" w:lineRule="auto"/>
        <w:ind w:firstLineChars="0"/>
        <w:rPr>
          <w:rFonts w:ascii="宋体" w:hAnsi="宋体" w:eastAsia="宋体"/>
          <w:color w:val="auto"/>
          <w:sz w:val="22"/>
          <w:szCs w:val="22"/>
          <w:highlight w:val="none"/>
          <w:lang w:val="zh-CN"/>
        </w:rPr>
      </w:pPr>
      <w:r>
        <w:rPr>
          <w:rFonts w:ascii="宋体" w:hAnsi="宋体" w:eastAsia="宋体"/>
          <w:color w:val="auto"/>
          <w:sz w:val="22"/>
          <w:szCs w:val="22"/>
          <w:highlight w:val="none"/>
          <w:lang w:val="zh-CN"/>
        </w:rPr>
        <w:t>必须遵守评标纪律、不得泄密；</w:t>
      </w:r>
    </w:p>
    <w:p>
      <w:pPr>
        <w:pStyle w:val="116"/>
        <w:numPr>
          <w:ilvl w:val="0"/>
          <w:numId w:val="34"/>
        </w:numPr>
        <w:spacing w:line="360" w:lineRule="auto"/>
        <w:ind w:firstLineChars="0"/>
        <w:rPr>
          <w:rFonts w:ascii="宋体" w:hAnsi="宋体"/>
          <w:color w:val="auto"/>
          <w:sz w:val="22"/>
          <w:szCs w:val="22"/>
          <w:highlight w:val="none"/>
          <w:lang w:val="zh-CN"/>
        </w:rPr>
      </w:pPr>
      <w:r>
        <w:rPr>
          <w:rFonts w:ascii="宋体" w:hAnsi="宋体"/>
          <w:color w:val="auto"/>
          <w:sz w:val="22"/>
          <w:szCs w:val="22"/>
          <w:highlight w:val="none"/>
          <w:lang w:val="zh-CN"/>
        </w:rPr>
        <w:t>必须公正、不得循私；</w:t>
      </w:r>
    </w:p>
    <w:p>
      <w:pPr>
        <w:pStyle w:val="116"/>
        <w:numPr>
          <w:ilvl w:val="0"/>
          <w:numId w:val="34"/>
        </w:numPr>
        <w:spacing w:line="360" w:lineRule="auto"/>
        <w:ind w:firstLineChars="0"/>
        <w:rPr>
          <w:rFonts w:ascii="宋体" w:hAnsi="宋体"/>
          <w:color w:val="auto"/>
          <w:sz w:val="22"/>
          <w:szCs w:val="22"/>
          <w:highlight w:val="none"/>
          <w:lang w:val="zh-CN"/>
        </w:rPr>
      </w:pPr>
      <w:r>
        <w:rPr>
          <w:rFonts w:ascii="宋体" w:hAnsi="宋体"/>
          <w:color w:val="auto"/>
          <w:sz w:val="22"/>
          <w:szCs w:val="22"/>
          <w:highlight w:val="none"/>
          <w:lang w:val="zh-CN"/>
        </w:rPr>
        <w:t>必须科学、不得草率；</w:t>
      </w:r>
    </w:p>
    <w:p>
      <w:pPr>
        <w:pStyle w:val="116"/>
        <w:numPr>
          <w:ilvl w:val="0"/>
          <w:numId w:val="34"/>
        </w:numPr>
        <w:spacing w:line="360" w:lineRule="auto"/>
        <w:ind w:firstLineChars="0"/>
        <w:rPr>
          <w:rFonts w:ascii="宋体" w:hAnsi="宋体"/>
          <w:color w:val="auto"/>
          <w:sz w:val="22"/>
          <w:szCs w:val="22"/>
          <w:highlight w:val="none"/>
          <w:lang w:val="zh-CN"/>
        </w:rPr>
      </w:pPr>
      <w:r>
        <w:rPr>
          <w:rFonts w:ascii="宋体" w:hAnsi="宋体"/>
          <w:color w:val="auto"/>
          <w:sz w:val="22"/>
          <w:szCs w:val="22"/>
          <w:highlight w:val="none"/>
          <w:lang w:val="zh-CN"/>
        </w:rPr>
        <w:t>必须客观、不得带有成见；</w:t>
      </w:r>
    </w:p>
    <w:p>
      <w:pPr>
        <w:pStyle w:val="116"/>
        <w:numPr>
          <w:ilvl w:val="0"/>
          <w:numId w:val="34"/>
        </w:numPr>
        <w:spacing w:line="360" w:lineRule="auto"/>
        <w:ind w:firstLineChars="0"/>
        <w:rPr>
          <w:rFonts w:ascii="宋体" w:hAnsi="宋体"/>
          <w:color w:val="auto"/>
          <w:sz w:val="22"/>
          <w:szCs w:val="22"/>
          <w:highlight w:val="none"/>
          <w:lang w:val="zh-CN"/>
        </w:rPr>
      </w:pPr>
      <w:r>
        <w:rPr>
          <w:rFonts w:ascii="宋体" w:hAnsi="宋体"/>
          <w:color w:val="auto"/>
          <w:sz w:val="22"/>
          <w:szCs w:val="22"/>
          <w:highlight w:val="none"/>
          <w:lang w:val="zh-CN"/>
        </w:rPr>
        <w:t>必须平等、不得强加于人；</w:t>
      </w:r>
    </w:p>
    <w:p>
      <w:pPr>
        <w:pStyle w:val="116"/>
        <w:numPr>
          <w:ilvl w:val="0"/>
          <w:numId w:val="34"/>
        </w:numPr>
        <w:spacing w:line="360" w:lineRule="auto"/>
        <w:ind w:firstLineChars="0"/>
        <w:rPr>
          <w:rFonts w:ascii="宋体" w:hAnsi="宋体"/>
          <w:color w:val="auto"/>
          <w:sz w:val="22"/>
          <w:szCs w:val="22"/>
          <w:highlight w:val="none"/>
          <w:lang w:val="zh-CN"/>
        </w:rPr>
      </w:pPr>
      <w:r>
        <w:rPr>
          <w:rFonts w:ascii="宋体" w:hAnsi="宋体"/>
          <w:color w:val="auto"/>
          <w:sz w:val="22"/>
          <w:szCs w:val="22"/>
          <w:highlight w:val="none"/>
          <w:lang w:val="zh-CN"/>
        </w:rPr>
        <w:t>必须严谨、不得随意马虎。</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02" w:name="_Toc441844081"/>
      <w:bookmarkStart w:id="103" w:name="_Toc61529837"/>
      <w:r>
        <w:rPr>
          <w:rFonts w:ascii="宋体" w:hAnsi="宋体"/>
          <w:b/>
          <w:bCs/>
          <w:color w:val="auto"/>
          <w:sz w:val="22"/>
          <w:szCs w:val="22"/>
          <w:highlight w:val="none"/>
        </w:rPr>
        <w:t>评标过程的保密性</w:t>
      </w:r>
      <w:bookmarkEnd w:id="102"/>
      <w:bookmarkEnd w:id="103"/>
    </w:p>
    <w:p>
      <w:pPr>
        <w:pStyle w:val="116"/>
        <w:numPr>
          <w:ilvl w:val="0"/>
          <w:numId w:val="35"/>
        </w:numPr>
        <w:tabs>
          <w:tab w:val="left" w:pos="567"/>
        </w:tabs>
        <w:spacing w:line="360" w:lineRule="auto"/>
        <w:ind w:left="567" w:right="18" w:hanging="567" w:firstLineChars="0"/>
        <w:rPr>
          <w:rFonts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递交投标文件后，直至向中标人授予合同时止，凡与审查、澄清、评估和比较投标报价的有关资料以及授标意见等，参与评标工作的有关人员均不得向投标人及与评审无关的其他人透露，否则追究有关当事人的法律责任。</w:t>
      </w:r>
    </w:p>
    <w:p>
      <w:pPr>
        <w:pStyle w:val="116"/>
        <w:numPr>
          <w:ilvl w:val="0"/>
          <w:numId w:val="35"/>
        </w:numPr>
        <w:tabs>
          <w:tab w:val="left" w:pos="567"/>
        </w:tabs>
        <w:spacing w:line="360" w:lineRule="auto"/>
        <w:ind w:left="567" w:right="18" w:hanging="567" w:firstLineChars="0"/>
        <w:rPr>
          <w:rFonts w:ascii="宋体" w:hAnsi="宋体"/>
          <w:color w:val="auto"/>
          <w:sz w:val="22"/>
          <w:szCs w:val="22"/>
          <w:highlight w:val="none"/>
          <w:lang w:val="zh-CN"/>
        </w:rPr>
      </w:pPr>
      <w:r>
        <w:rPr>
          <w:rFonts w:ascii="宋体" w:hAnsi="宋体"/>
          <w:color w:val="auto"/>
          <w:sz w:val="22"/>
          <w:szCs w:val="22"/>
          <w:highlight w:val="none"/>
          <w:lang w:val="zh-CN"/>
        </w:rPr>
        <w:t>在评标过程中，如果投标人试图在投标文件审查、澄清、比较及授予合同方面向招标代理机构和招标人施加任何影响，其投标文件将被拒绝。</w:t>
      </w:r>
    </w:p>
    <w:p>
      <w:pPr>
        <w:pStyle w:val="116"/>
        <w:numPr>
          <w:ilvl w:val="0"/>
          <w:numId w:val="35"/>
        </w:numPr>
        <w:tabs>
          <w:tab w:val="left" w:pos="567"/>
        </w:tabs>
        <w:spacing w:line="360" w:lineRule="auto"/>
        <w:ind w:left="567" w:right="18" w:hanging="567" w:firstLineChars="0"/>
        <w:rPr>
          <w:rFonts w:ascii="宋体" w:hAnsi="宋体"/>
          <w:color w:val="auto"/>
          <w:sz w:val="22"/>
          <w:szCs w:val="22"/>
          <w:highlight w:val="none"/>
        </w:rPr>
      </w:pPr>
      <w:r>
        <w:rPr>
          <w:rFonts w:ascii="宋体" w:hAnsi="宋体"/>
          <w:color w:val="auto"/>
          <w:sz w:val="22"/>
          <w:szCs w:val="22"/>
          <w:highlight w:val="none"/>
        </w:rPr>
        <w:t>凡参与评标工作的有关人员均应自觉接受招标人或招标人主管部门或相关招标主管部门的监督，不得向他人透露已获得招标文件的潜在投标人的名称、数量以及可能影响公平竞争的有关投标报价的其他情况。</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04" w:name="_Toc441844082"/>
      <w:bookmarkStart w:id="105" w:name="_Toc61529838"/>
      <w:r>
        <w:rPr>
          <w:rFonts w:ascii="宋体" w:hAnsi="宋体"/>
          <w:b/>
          <w:bCs/>
          <w:color w:val="auto"/>
          <w:sz w:val="22"/>
          <w:szCs w:val="22"/>
          <w:highlight w:val="none"/>
        </w:rPr>
        <w:t>投标文件</w:t>
      </w:r>
      <w:bookmarkEnd w:id="104"/>
      <w:r>
        <w:rPr>
          <w:rFonts w:hint="eastAsia" w:ascii="宋体" w:hAnsi="宋体"/>
          <w:b/>
          <w:bCs/>
          <w:color w:val="auto"/>
          <w:sz w:val="22"/>
          <w:szCs w:val="22"/>
          <w:highlight w:val="none"/>
        </w:rPr>
        <w:t>评审</w:t>
      </w:r>
      <w:bookmarkEnd w:id="105"/>
    </w:p>
    <w:p>
      <w:pPr>
        <w:pStyle w:val="116"/>
        <w:numPr>
          <w:ilvl w:val="0"/>
          <w:numId w:val="36"/>
        </w:numPr>
        <w:spacing w:line="360" w:lineRule="auto"/>
        <w:ind w:firstLineChars="0"/>
        <w:rPr>
          <w:rFonts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评标委员会应当对投标人的投标文件进行资格、符合性审查，以确定其是否满足招标文件的实质性要求（详见第三章</w:t>
      </w:r>
      <w:r>
        <w:rPr>
          <w:rFonts w:ascii="宋体" w:hAnsi="宋体" w:eastAsia="宋体"/>
          <w:color w:val="auto"/>
          <w:sz w:val="22"/>
          <w:szCs w:val="22"/>
          <w:highlight w:val="none"/>
          <w:lang w:val="zh-CN"/>
        </w:rPr>
        <w:t xml:space="preserve"> </w:t>
      </w:r>
      <w:r>
        <w:rPr>
          <w:rFonts w:hint="eastAsia" w:ascii="宋体" w:hAnsi="宋体" w:eastAsia="宋体"/>
          <w:color w:val="auto"/>
          <w:sz w:val="22"/>
          <w:szCs w:val="22"/>
          <w:highlight w:val="none"/>
          <w:lang w:val="zh-CN"/>
        </w:rPr>
        <w:t>评标办法）。</w:t>
      </w:r>
    </w:p>
    <w:p>
      <w:pPr>
        <w:pStyle w:val="116"/>
        <w:numPr>
          <w:ilvl w:val="0"/>
          <w:numId w:val="36"/>
        </w:numPr>
        <w:spacing w:line="360" w:lineRule="auto"/>
        <w:ind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投标截止后投标人不足</w:t>
      </w:r>
      <w:r>
        <w:rPr>
          <w:rFonts w:ascii="宋体" w:hAnsi="宋体" w:eastAsia="宋体"/>
          <w:color w:val="auto"/>
          <w:sz w:val="22"/>
          <w:szCs w:val="22"/>
          <w:highlight w:val="none"/>
        </w:rPr>
        <w:t>3</w:t>
      </w:r>
      <w:r>
        <w:rPr>
          <w:rFonts w:hint="eastAsia" w:ascii="宋体" w:hAnsi="宋体" w:eastAsia="宋体"/>
          <w:color w:val="auto"/>
          <w:sz w:val="22"/>
          <w:szCs w:val="22"/>
          <w:highlight w:val="none"/>
        </w:rPr>
        <w:t>家或者通过资格、符合性审查的投标人不足</w:t>
      </w:r>
      <w:r>
        <w:rPr>
          <w:rFonts w:ascii="宋体" w:hAnsi="宋体" w:eastAsia="宋体"/>
          <w:color w:val="auto"/>
          <w:sz w:val="22"/>
          <w:szCs w:val="22"/>
          <w:highlight w:val="none"/>
        </w:rPr>
        <w:t>3</w:t>
      </w:r>
      <w:r>
        <w:rPr>
          <w:rFonts w:hint="eastAsia" w:ascii="宋体" w:hAnsi="宋体" w:eastAsia="宋体"/>
          <w:color w:val="auto"/>
          <w:sz w:val="22"/>
          <w:szCs w:val="22"/>
          <w:highlight w:val="none"/>
        </w:rPr>
        <w:t>家的，招标代理机构将依法重新招标；如果招标文件存在不合理条款或者招标程序不符合规定的，招标人、招标代理机构改正后依法重新招标。</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06" w:name="_Toc46502772"/>
      <w:bookmarkEnd w:id="106"/>
      <w:bookmarkStart w:id="107" w:name="_Toc61529839"/>
      <w:bookmarkStart w:id="108" w:name="_Toc441844083"/>
      <w:r>
        <w:rPr>
          <w:rFonts w:ascii="宋体" w:hAnsi="宋体"/>
          <w:b/>
          <w:bCs/>
          <w:color w:val="auto"/>
          <w:sz w:val="22"/>
          <w:szCs w:val="22"/>
          <w:highlight w:val="none"/>
        </w:rPr>
        <w:t>投标文件的澄清</w:t>
      </w:r>
      <w:bookmarkEnd w:id="107"/>
      <w:bookmarkEnd w:id="108"/>
    </w:p>
    <w:p>
      <w:pPr>
        <w:pStyle w:val="116"/>
        <w:numPr>
          <w:ilvl w:val="0"/>
          <w:numId w:val="37"/>
        </w:numPr>
        <w:spacing w:line="360" w:lineRule="auto"/>
        <w:ind w:right="18" w:firstLineChars="0"/>
        <w:rPr>
          <w:rFonts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对投标文件中含义不明确、同类问题表述不一致或者有明显文字和计算错误的内容，评标委员会认为需要投标人作出必要澄清、说明的，应当书面通知该投标人。投标人的澄清、说明或者补正应当采用书面形式，并不得超出投标文件的范围或者改变投标文件的实质性内容。</w:t>
      </w:r>
    </w:p>
    <w:p>
      <w:pPr>
        <w:pStyle w:val="116"/>
        <w:numPr>
          <w:ilvl w:val="0"/>
          <w:numId w:val="37"/>
        </w:numPr>
        <w:spacing w:line="360" w:lineRule="auto"/>
        <w:ind w:right="18" w:firstLineChars="0"/>
        <w:rPr>
          <w:rFonts w:ascii="宋体" w:hAnsi="宋体" w:eastAsia="宋体"/>
          <w:color w:val="auto"/>
          <w:sz w:val="22"/>
          <w:szCs w:val="22"/>
          <w:highlight w:val="none"/>
          <w:lang w:val="zh-CN"/>
        </w:rPr>
      </w:pPr>
      <w:r>
        <w:rPr>
          <w:rFonts w:ascii="宋体" w:hAnsi="宋体" w:eastAsia="宋体"/>
          <w:color w:val="auto"/>
          <w:sz w:val="22"/>
          <w:szCs w:val="22"/>
          <w:highlight w:val="none"/>
          <w:lang w:val="zh-CN"/>
        </w:rPr>
        <w:t>除评标委员会主动要求澄清、说明或者纠正外，评标定标期间，任何投标人均不得就与其投标相关的任何问题与评标委员会联系。</w:t>
      </w:r>
    </w:p>
    <w:p>
      <w:pPr>
        <w:pStyle w:val="116"/>
        <w:numPr>
          <w:ilvl w:val="0"/>
          <w:numId w:val="37"/>
        </w:numPr>
        <w:spacing w:line="360" w:lineRule="auto"/>
        <w:ind w:right="18" w:firstLineChars="0"/>
        <w:rPr>
          <w:rFonts w:ascii="宋体" w:hAnsi="宋体" w:eastAsia="宋体"/>
          <w:color w:val="auto"/>
          <w:sz w:val="22"/>
          <w:szCs w:val="22"/>
          <w:highlight w:val="none"/>
          <w:lang w:val="zh-CN"/>
        </w:rPr>
      </w:pPr>
      <w:r>
        <w:rPr>
          <w:rFonts w:ascii="宋体" w:hAnsi="宋体" w:eastAsia="宋体"/>
          <w:color w:val="auto"/>
          <w:sz w:val="22"/>
          <w:szCs w:val="22"/>
          <w:highlight w:val="none"/>
          <w:lang w:val="zh-CN"/>
        </w:rPr>
        <w:t>评标委员会成员均应当阅读投标人的澄清，但应独立参考澄清对投标文件进行评审。整个澄清的过程不得存在排斥潜在投标人的现象。</w:t>
      </w:r>
    </w:p>
    <w:p>
      <w:pPr>
        <w:pStyle w:val="116"/>
        <w:numPr>
          <w:ilvl w:val="0"/>
          <w:numId w:val="37"/>
        </w:numPr>
        <w:spacing w:line="360" w:lineRule="auto"/>
        <w:ind w:right="18" w:firstLineChars="0"/>
        <w:rPr>
          <w:rFonts w:ascii="宋体" w:hAnsi="宋体" w:eastAsia="宋体"/>
          <w:color w:val="auto"/>
          <w:sz w:val="22"/>
          <w:szCs w:val="22"/>
          <w:highlight w:val="none"/>
          <w:lang w:val="zh-CN"/>
        </w:rPr>
      </w:pPr>
      <w:r>
        <w:rPr>
          <w:rFonts w:ascii="宋体" w:hAnsi="宋体" w:eastAsia="宋体"/>
          <w:color w:val="auto"/>
          <w:sz w:val="22"/>
          <w:szCs w:val="22"/>
          <w:highlight w:val="none"/>
          <w:lang w:val="zh-CN"/>
        </w:rPr>
        <w:t>如果投标文件实质上不响应招标文件的各项要求，评标委员会将按照</w:t>
      </w:r>
      <w:r>
        <w:rPr>
          <w:rFonts w:hint="eastAsia" w:ascii="宋体" w:hAnsi="宋体" w:eastAsia="宋体"/>
          <w:color w:val="auto"/>
          <w:sz w:val="22"/>
          <w:szCs w:val="22"/>
          <w:highlight w:val="none"/>
          <w:lang w:val="zh-CN"/>
        </w:rPr>
        <w:t>资格、</w:t>
      </w:r>
      <w:r>
        <w:rPr>
          <w:rFonts w:ascii="宋体" w:hAnsi="宋体" w:eastAsia="宋体"/>
          <w:color w:val="auto"/>
          <w:sz w:val="22"/>
          <w:szCs w:val="22"/>
          <w:highlight w:val="none"/>
          <w:lang w:val="zh-CN"/>
        </w:rPr>
        <w:t>符合性审查标准予以拒绝，不接受投标人通过修改或撤销其不符合要求的差异或保留，使之成为具有响应性的投标。</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09" w:name="_Toc61529840"/>
      <w:r>
        <w:rPr>
          <w:rFonts w:ascii="宋体" w:hAnsi="宋体"/>
          <w:b/>
          <w:bCs/>
          <w:color w:val="auto"/>
          <w:sz w:val="22"/>
          <w:szCs w:val="22"/>
          <w:highlight w:val="none"/>
        </w:rPr>
        <w:t>对投标文件的比较和评价</w:t>
      </w:r>
      <w:bookmarkEnd w:id="109"/>
    </w:p>
    <w:p>
      <w:pPr>
        <w:pStyle w:val="116"/>
        <w:numPr>
          <w:ilvl w:val="0"/>
          <w:numId w:val="38"/>
        </w:numPr>
        <w:spacing w:line="360" w:lineRule="auto"/>
        <w:ind w:right="18" w:firstLineChars="0"/>
        <w:rPr>
          <w:rFonts w:ascii="宋体" w:hAnsi="宋体" w:eastAsia="宋体"/>
          <w:color w:val="auto"/>
          <w:sz w:val="22"/>
          <w:szCs w:val="22"/>
          <w:highlight w:val="none"/>
          <w:lang w:val="zh-CN"/>
        </w:rPr>
      </w:pPr>
      <w:r>
        <w:rPr>
          <w:rFonts w:ascii="宋体" w:hAnsi="宋体" w:eastAsia="宋体"/>
          <w:color w:val="auto"/>
          <w:sz w:val="22"/>
          <w:szCs w:val="22"/>
          <w:highlight w:val="none"/>
          <w:lang w:val="zh-CN"/>
        </w:rPr>
        <w:t>评标委员会将对资格</w:t>
      </w:r>
      <w:r>
        <w:rPr>
          <w:rFonts w:hint="eastAsia" w:ascii="宋体" w:hAnsi="宋体" w:eastAsia="宋体"/>
          <w:color w:val="auto"/>
          <w:sz w:val="22"/>
          <w:szCs w:val="22"/>
          <w:highlight w:val="none"/>
          <w:lang w:val="zh-CN"/>
        </w:rPr>
        <w:t>、</w:t>
      </w:r>
      <w:r>
        <w:rPr>
          <w:rFonts w:ascii="宋体" w:hAnsi="宋体" w:eastAsia="宋体"/>
          <w:color w:val="auto"/>
          <w:sz w:val="22"/>
          <w:szCs w:val="22"/>
          <w:highlight w:val="none"/>
          <w:lang w:val="zh-CN"/>
        </w:rPr>
        <w:t>符合性</w:t>
      </w:r>
      <w:r>
        <w:rPr>
          <w:rFonts w:hint="eastAsia" w:ascii="宋体" w:hAnsi="宋体" w:eastAsia="宋体"/>
          <w:color w:val="auto"/>
          <w:sz w:val="22"/>
          <w:szCs w:val="22"/>
          <w:highlight w:val="none"/>
          <w:lang w:val="zh-CN"/>
        </w:rPr>
        <w:t>审查</w:t>
      </w:r>
      <w:r>
        <w:rPr>
          <w:rFonts w:ascii="宋体" w:hAnsi="宋体" w:eastAsia="宋体"/>
          <w:color w:val="auto"/>
          <w:sz w:val="22"/>
          <w:szCs w:val="22"/>
          <w:highlight w:val="none"/>
          <w:lang w:val="zh-CN"/>
        </w:rPr>
        <w:t>合格的投标文件进行比较和评价，包括技术、商务的详细评审</w:t>
      </w:r>
      <w:r>
        <w:rPr>
          <w:rFonts w:hint="eastAsia" w:ascii="宋体" w:hAnsi="宋体" w:eastAsia="宋体"/>
          <w:color w:val="auto"/>
          <w:sz w:val="22"/>
          <w:szCs w:val="22"/>
          <w:highlight w:val="none"/>
          <w:lang w:val="zh-CN"/>
        </w:rPr>
        <w:t>，</w:t>
      </w:r>
      <w:r>
        <w:rPr>
          <w:rFonts w:ascii="宋体" w:hAnsi="宋体" w:eastAsia="宋体"/>
          <w:color w:val="auto"/>
          <w:sz w:val="22"/>
          <w:szCs w:val="22"/>
          <w:highlight w:val="none"/>
          <w:lang w:val="zh-CN"/>
        </w:rPr>
        <w:t>详见</w:t>
      </w:r>
      <w:r>
        <w:rPr>
          <w:rFonts w:hint="eastAsia" w:ascii="宋体" w:hAnsi="宋体" w:eastAsia="宋体"/>
          <w:color w:val="auto"/>
          <w:sz w:val="22"/>
          <w:szCs w:val="22"/>
          <w:highlight w:val="none"/>
          <w:lang w:val="zh-CN"/>
        </w:rPr>
        <w:t>第三章《评标办法》。</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10" w:name="_Toc441844084"/>
      <w:bookmarkStart w:id="111" w:name="_Toc61529841"/>
      <w:r>
        <w:rPr>
          <w:rFonts w:ascii="宋体" w:hAnsi="宋体"/>
          <w:b/>
          <w:bCs/>
          <w:color w:val="auto"/>
          <w:sz w:val="22"/>
          <w:szCs w:val="22"/>
          <w:highlight w:val="none"/>
        </w:rPr>
        <w:t>评标原则及方法</w:t>
      </w:r>
      <w:bookmarkEnd w:id="110"/>
      <w:bookmarkEnd w:id="111"/>
    </w:p>
    <w:p>
      <w:pPr>
        <w:pStyle w:val="116"/>
        <w:numPr>
          <w:ilvl w:val="0"/>
          <w:numId w:val="39"/>
        </w:numPr>
        <w:tabs>
          <w:tab w:val="left" w:pos="360"/>
        </w:tabs>
        <w:spacing w:line="360" w:lineRule="auto"/>
        <w:ind w:left="567" w:right="51" w:hanging="567" w:firstLineChars="0"/>
        <w:rPr>
          <w:rFonts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坚持</w:t>
      </w:r>
      <w:r>
        <w:rPr>
          <w:rFonts w:ascii="宋体" w:hAnsi="宋体" w:eastAsia="宋体"/>
          <w:color w:val="auto"/>
          <w:sz w:val="22"/>
          <w:szCs w:val="22"/>
          <w:highlight w:val="none"/>
          <w:lang w:val="zh-CN"/>
        </w:rPr>
        <w:t>“</w:t>
      </w:r>
      <w:r>
        <w:rPr>
          <w:rFonts w:hint="eastAsia" w:ascii="宋体" w:hAnsi="宋体" w:eastAsia="宋体"/>
          <w:color w:val="auto"/>
          <w:sz w:val="22"/>
          <w:szCs w:val="22"/>
          <w:highlight w:val="none"/>
          <w:lang w:val="zh-CN"/>
        </w:rPr>
        <w:t>公开、公平、公正、科学、择优</w:t>
      </w:r>
      <w:r>
        <w:rPr>
          <w:rFonts w:ascii="宋体" w:hAnsi="宋体" w:eastAsia="宋体"/>
          <w:color w:val="auto"/>
          <w:sz w:val="22"/>
          <w:szCs w:val="22"/>
          <w:highlight w:val="none"/>
          <w:lang w:val="zh-CN"/>
        </w:rPr>
        <w:t>”</w:t>
      </w:r>
      <w:r>
        <w:rPr>
          <w:rFonts w:hint="eastAsia" w:ascii="宋体" w:hAnsi="宋体" w:eastAsia="宋体"/>
          <w:color w:val="auto"/>
          <w:sz w:val="22"/>
          <w:szCs w:val="22"/>
          <w:highlight w:val="none"/>
          <w:lang w:val="zh-CN"/>
        </w:rPr>
        <w:t>的评标原则，严格评审。</w:t>
      </w:r>
    </w:p>
    <w:p>
      <w:pPr>
        <w:pStyle w:val="116"/>
        <w:numPr>
          <w:ilvl w:val="0"/>
          <w:numId w:val="39"/>
        </w:numPr>
        <w:tabs>
          <w:tab w:val="left" w:pos="360"/>
        </w:tabs>
        <w:spacing w:line="360" w:lineRule="auto"/>
        <w:ind w:left="567" w:right="51" w:hanging="567" w:firstLineChars="0"/>
        <w:rPr>
          <w:rFonts w:ascii="宋体" w:hAnsi="宋体"/>
          <w:color w:val="auto"/>
          <w:sz w:val="22"/>
          <w:szCs w:val="22"/>
          <w:highlight w:val="none"/>
          <w:lang w:val="zh-CN"/>
        </w:rPr>
      </w:pPr>
      <w:r>
        <w:rPr>
          <w:rFonts w:ascii="宋体" w:hAnsi="宋体"/>
          <w:color w:val="auto"/>
          <w:sz w:val="22"/>
          <w:szCs w:val="22"/>
          <w:highlight w:val="none"/>
          <w:lang w:val="zh-CN"/>
        </w:rPr>
        <w:t>确定中标人的评标准则是：能够最大限度满足招标文件中规定的各项综合评价标准。</w:t>
      </w:r>
    </w:p>
    <w:p>
      <w:pPr>
        <w:pStyle w:val="116"/>
        <w:numPr>
          <w:ilvl w:val="0"/>
          <w:numId w:val="39"/>
        </w:numPr>
        <w:tabs>
          <w:tab w:val="left" w:pos="360"/>
        </w:tabs>
        <w:spacing w:line="360" w:lineRule="auto"/>
        <w:ind w:left="567" w:right="51" w:hanging="567" w:firstLineChars="0"/>
        <w:rPr>
          <w:rFonts w:ascii="宋体" w:hAnsi="宋体"/>
          <w:color w:val="auto"/>
          <w:sz w:val="22"/>
          <w:szCs w:val="22"/>
          <w:highlight w:val="none"/>
          <w:lang w:val="zh-CN"/>
        </w:rPr>
      </w:pPr>
      <w:r>
        <w:rPr>
          <w:rFonts w:ascii="宋体" w:hAnsi="宋体"/>
          <w:color w:val="auto"/>
          <w:sz w:val="22"/>
          <w:szCs w:val="22"/>
          <w:highlight w:val="none"/>
          <w:lang w:val="zh-CN"/>
        </w:rPr>
        <w:t>具体评标方法</w:t>
      </w:r>
      <w:r>
        <w:rPr>
          <w:rFonts w:ascii="宋体" w:hAnsi="宋体"/>
          <w:b/>
          <w:color w:val="auto"/>
          <w:sz w:val="22"/>
          <w:szCs w:val="22"/>
          <w:highlight w:val="none"/>
        </w:rPr>
        <w:t>详见第三章</w:t>
      </w:r>
      <w:r>
        <w:rPr>
          <w:rFonts w:hint="eastAsia" w:ascii="宋体" w:hAnsi="宋体"/>
          <w:b/>
          <w:color w:val="auto"/>
          <w:sz w:val="22"/>
          <w:szCs w:val="22"/>
          <w:highlight w:val="none"/>
        </w:rPr>
        <w:t>《</w:t>
      </w:r>
      <w:r>
        <w:rPr>
          <w:rFonts w:ascii="宋体" w:hAnsi="宋体"/>
          <w:b/>
          <w:color w:val="auto"/>
          <w:sz w:val="22"/>
          <w:szCs w:val="22"/>
          <w:highlight w:val="none"/>
        </w:rPr>
        <w:t>评标办法</w:t>
      </w:r>
      <w:r>
        <w:rPr>
          <w:rFonts w:hint="eastAsia" w:ascii="宋体" w:hAnsi="宋体"/>
          <w:b/>
          <w:color w:val="auto"/>
          <w:sz w:val="22"/>
          <w:szCs w:val="22"/>
          <w:highlight w:val="none"/>
        </w:rPr>
        <w:t>》</w:t>
      </w:r>
      <w:r>
        <w:rPr>
          <w:rFonts w:ascii="宋体" w:hAnsi="宋体"/>
          <w:color w:val="auto"/>
          <w:sz w:val="22"/>
          <w:szCs w:val="22"/>
          <w:highlight w:val="none"/>
        </w:rPr>
        <w:t>。</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12" w:name="_Toc441844085"/>
      <w:bookmarkStart w:id="113" w:name="_Toc61529842"/>
      <w:r>
        <w:rPr>
          <w:rFonts w:ascii="宋体" w:hAnsi="宋体"/>
          <w:b/>
          <w:bCs/>
          <w:color w:val="auto"/>
          <w:sz w:val="22"/>
          <w:szCs w:val="22"/>
          <w:highlight w:val="none"/>
        </w:rPr>
        <w:t>评标结果公示</w:t>
      </w:r>
      <w:bookmarkEnd w:id="112"/>
      <w:r>
        <w:rPr>
          <w:rFonts w:hint="eastAsia" w:ascii="宋体" w:hAnsi="宋体"/>
          <w:b/>
          <w:bCs/>
          <w:color w:val="auto"/>
          <w:sz w:val="22"/>
          <w:szCs w:val="22"/>
          <w:highlight w:val="none"/>
        </w:rPr>
        <w:t>及异议、投诉</w:t>
      </w:r>
      <w:bookmarkEnd w:id="113"/>
    </w:p>
    <w:p>
      <w:pPr>
        <w:pStyle w:val="116"/>
        <w:numPr>
          <w:ilvl w:val="0"/>
          <w:numId w:val="40"/>
        </w:numPr>
        <w:spacing w:line="360" w:lineRule="auto"/>
        <w:ind w:firstLineChars="0"/>
        <w:rPr>
          <w:rFonts w:hAnsi="宋体"/>
          <w:color w:val="auto"/>
          <w:sz w:val="22"/>
          <w:szCs w:val="22"/>
          <w:highlight w:val="none"/>
          <w:lang w:val="zh-CN"/>
        </w:rPr>
      </w:pPr>
      <w:r>
        <w:rPr>
          <w:rFonts w:hint="eastAsia" w:hAnsi="宋体"/>
          <w:color w:val="auto"/>
          <w:sz w:val="22"/>
          <w:szCs w:val="22"/>
          <w:highlight w:val="none"/>
          <w:lang w:val="zh-CN"/>
        </w:rPr>
        <w:t>招标代理机构在招标公告发布媒体公示中标候选人，公示期为</w:t>
      </w:r>
      <w:r>
        <w:rPr>
          <w:rFonts w:hAnsi="宋体"/>
          <w:color w:val="auto"/>
          <w:sz w:val="22"/>
          <w:szCs w:val="22"/>
          <w:highlight w:val="none"/>
          <w:lang w:val="zh-CN"/>
        </w:rPr>
        <w:t>3</w:t>
      </w:r>
      <w:r>
        <w:rPr>
          <w:rFonts w:hint="eastAsia" w:hAnsi="宋体"/>
          <w:color w:val="auto"/>
          <w:sz w:val="22"/>
          <w:szCs w:val="22"/>
          <w:highlight w:val="none"/>
          <w:lang w:val="zh-CN"/>
        </w:rPr>
        <w:t>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pPr>
        <w:spacing w:line="360" w:lineRule="auto"/>
        <w:ind w:left="424" w:leftChars="202" w:firstLine="440" w:firstLineChars="200"/>
        <w:rPr>
          <w:rFonts w:hAnsi="宋体"/>
          <w:color w:val="auto"/>
          <w:sz w:val="22"/>
          <w:szCs w:val="22"/>
          <w:highlight w:val="none"/>
          <w:lang w:val="zh-CN"/>
        </w:rPr>
      </w:pPr>
      <w:r>
        <w:rPr>
          <w:rFonts w:hint="eastAsia" w:hAnsi="宋体"/>
          <w:color w:val="auto"/>
          <w:sz w:val="22"/>
          <w:szCs w:val="22"/>
          <w:highlight w:val="none"/>
          <w:lang w:val="zh-CN"/>
        </w:rPr>
        <w:t>招标代理机构将拒收未能提供完整异议书面材料的异议，完整的异议书面材料必须同时包含：异议书（加盖法人公章，注明联系人、联系电话、联系地址）、授权提交异议的法定代表人授权书原件、反映异议人主体资格的营业执照复印件（加盖法人公章）、以及合法来源的证据证明材料。</w:t>
      </w:r>
    </w:p>
    <w:p>
      <w:pPr>
        <w:pStyle w:val="116"/>
        <w:numPr>
          <w:ilvl w:val="0"/>
          <w:numId w:val="40"/>
        </w:numPr>
        <w:spacing w:line="360" w:lineRule="auto"/>
        <w:ind w:firstLineChars="0"/>
        <w:rPr>
          <w:rFonts w:hAnsi="宋体"/>
          <w:color w:val="auto"/>
          <w:sz w:val="22"/>
          <w:szCs w:val="22"/>
          <w:highlight w:val="none"/>
          <w:lang w:val="zh-CN"/>
        </w:rPr>
      </w:pPr>
      <w:r>
        <w:rPr>
          <w:rFonts w:hint="eastAsia" w:hAnsi="宋体"/>
          <w:color w:val="auto"/>
          <w:sz w:val="22"/>
          <w:szCs w:val="22"/>
          <w:highlight w:val="none"/>
          <w:lang w:val="zh-CN"/>
        </w:rPr>
        <w:t>结果公示后，中标候选人有义务在结果公示之日起3日内提交投标文件中所提供的资格证明文件、业绩证明文件、对招标文件实质性条款响应文件、履约能力证明文件的原件供招标人核查，招标人如发现投标人提供虚假证明文件、虚假响应文件等弄虚作假行为骗取中标的，招标人有权取消其中标资格，没收其投标保证金。涉嫌违法犯罪的，将</w:t>
      </w:r>
      <w:r>
        <w:rPr>
          <w:rFonts w:hAnsi="宋体"/>
          <w:color w:val="auto"/>
          <w:sz w:val="22"/>
          <w:szCs w:val="22"/>
          <w:highlight w:val="none"/>
          <w:lang w:val="zh-CN"/>
        </w:rPr>
        <w:t>移交司法机关处理</w:t>
      </w:r>
      <w:r>
        <w:rPr>
          <w:rFonts w:hint="eastAsia" w:hAnsi="宋体"/>
          <w:color w:val="auto"/>
          <w:sz w:val="22"/>
          <w:szCs w:val="22"/>
          <w:highlight w:val="none"/>
          <w:lang w:val="zh-CN"/>
        </w:rPr>
        <w:t>。</w:t>
      </w:r>
    </w:p>
    <w:p>
      <w:pPr>
        <w:spacing w:line="360" w:lineRule="auto"/>
        <w:ind w:left="525" w:leftChars="250" w:firstLine="440" w:firstLineChars="200"/>
        <w:rPr>
          <w:rFonts w:hAnsi="宋体"/>
          <w:color w:val="auto"/>
          <w:sz w:val="22"/>
          <w:szCs w:val="22"/>
          <w:highlight w:val="none"/>
          <w:lang w:val="zh-CN"/>
        </w:rPr>
      </w:pPr>
      <w:r>
        <w:rPr>
          <w:rFonts w:hint="eastAsia" w:hAnsi="宋体"/>
          <w:color w:val="auto"/>
          <w:sz w:val="22"/>
          <w:szCs w:val="22"/>
          <w:highlight w:val="none"/>
          <w:lang w:val="zh-CN"/>
        </w:rPr>
        <w:t>必要时，当招标人（或其委托的招标代理机构）向中标候选人发出提供上述证明资料原件进行核查的书面通知后，公示期满之日起三个工作日内中标候选人仍未能提供原件进行核查的，视为其无法提供真实的资料，招标人有权</w:t>
      </w:r>
      <w:r>
        <w:rPr>
          <w:rFonts w:hAnsi="宋体"/>
          <w:color w:val="auto"/>
          <w:sz w:val="22"/>
          <w:szCs w:val="22"/>
          <w:highlight w:val="none"/>
          <w:lang w:val="zh-CN"/>
        </w:rPr>
        <w:t>按照评标委员会提出的中标候选人名单排序依次确定其他中标候选人为中标人或重新招标</w:t>
      </w:r>
      <w:r>
        <w:rPr>
          <w:rFonts w:hint="eastAsia" w:hAnsi="宋体"/>
          <w:color w:val="auto"/>
          <w:sz w:val="22"/>
          <w:szCs w:val="22"/>
          <w:highlight w:val="none"/>
          <w:lang w:val="zh-CN"/>
        </w:rPr>
        <w:t>。</w:t>
      </w:r>
    </w:p>
    <w:p>
      <w:pPr>
        <w:pStyle w:val="116"/>
        <w:numPr>
          <w:ilvl w:val="0"/>
          <w:numId w:val="40"/>
        </w:numPr>
        <w:spacing w:line="360" w:lineRule="auto"/>
        <w:ind w:firstLineChars="0"/>
        <w:rPr>
          <w:rFonts w:hAnsi="宋体"/>
          <w:color w:val="auto"/>
          <w:sz w:val="22"/>
          <w:szCs w:val="22"/>
          <w:highlight w:val="none"/>
          <w:lang w:val="zh-CN"/>
        </w:rPr>
      </w:pPr>
      <w:r>
        <w:rPr>
          <w:rFonts w:hint="eastAsia" w:hAnsi="宋体"/>
          <w:color w:val="auto"/>
          <w:sz w:val="22"/>
          <w:szCs w:val="22"/>
          <w:highlight w:val="none"/>
          <w:lang w:val="zh-CN"/>
        </w:rPr>
        <w:t>投标人或者其他利害关系人认为招标投标活动不符合法律、行政法规规定的，可以自知道或者应当知道之日起</w:t>
      </w:r>
      <w:r>
        <w:rPr>
          <w:rFonts w:hint="eastAsia" w:ascii="宋体" w:hAnsi="宋体"/>
          <w:color w:val="auto"/>
          <w:sz w:val="22"/>
          <w:szCs w:val="22"/>
          <w:highlight w:val="none"/>
          <w:lang w:val="zh-CN"/>
        </w:rPr>
        <w:t>10</w:t>
      </w:r>
      <w:r>
        <w:rPr>
          <w:rFonts w:hint="eastAsia" w:hAnsi="宋体"/>
          <w:color w:val="auto"/>
          <w:sz w:val="22"/>
          <w:szCs w:val="22"/>
          <w:highlight w:val="none"/>
          <w:lang w:val="zh-CN"/>
        </w:rPr>
        <w:t>日内，按程序向招标人招标活动的</w:t>
      </w:r>
      <w:r>
        <w:rPr>
          <w:rFonts w:hAnsi="宋体"/>
          <w:color w:val="auto"/>
          <w:sz w:val="22"/>
          <w:szCs w:val="22"/>
          <w:highlight w:val="none"/>
          <w:lang w:val="zh-CN"/>
        </w:rPr>
        <w:t>监督</w:t>
      </w:r>
      <w:r>
        <w:rPr>
          <w:rFonts w:hint="eastAsia" w:hAnsi="宋体"/>
          <w:color w:val="auto"/>
          <w:sz w:val="22"/>
          <w:szCs w:val="22"/>
          <w:highlight w:val="none"/>
          <w:lang w:val="zh-CN"/>
        </w:rPr>
        <w:t>部门</w:t>
      </w:r>
      <w:r>
        <w:rPr>
          <w:rFonts w:hAnsi="宋体"/>
          <w:color w:val="auto"/>
          <w:sz w:val="22"/>
          <w:szCs w:val="22"/>
          <w:highlight w:val="none"/>
          <w:lang w:val="zh-CN"/>
        </w:rPr>
        <w:t>投诉。</w:t>
      </w:r>
      <w:r>
        <w:rPr>
          <w:rFonts w:hint="eastAsia" w:hAnsi="宋体"/>
          <w:color w:val="auto"/>
          <w:sz w:val="22"/>
          <w:szCs w:val="22"/>
          <w:highlight w:val="none"/>
          <w:lang w:val="zh-CN"/>
        </w:rPr>
        <w:t>投诉应当有明确的请求和必要的证明材料。</w:t>
      </w:r>
    </w:p>
    <w:p>
      <w:pPr>
        <w:pStyle w:val="116"/>
        <w:spacing w:line="360" w:lineRule="auto"/>
        <w:ind w:left="420" w:firstLine="4" w:firstLineChars="2"/>
        <w:rPr>
          <w:rFonts w:hAnsi="宋体"/>
          <w:color w:val="auto"/>
          <w:sz w:val="22"/>
          <w:szCs w:val="22"/>
          <w:highlight w:val="none"/>
          <w:lang w:val="zh-CN"/>
        </w:rPr>
      </w:pPr>
      <w:r>
        <w:rPr>
          <w:rFonts w:hint="eastAsia" w:hAnsi="宋体"/>
          <w:color w:val="auto"/>
          <w:sz w:val="22"/>
          <w:szCs w:val="22"/>
          <w:highlight w:val="none"/>
          <w:lang w:val="zh-CN"/>
        </w:rPr>
        <w:t>（一）投诉人和被投诉人的姓名或者名称、通讯地址、邮编、联系人及联系电话；</w:t>
      </w:r>
    </w:p>
    <w:p>
      <w:pPr>
        <w:pStyle w:val="116"/>
        <w:spacing w:line="360" w:lineRule="auto"/>
        <w:ind w:left="-142" w:firstLine="140" w:firstLineChars="64"/>
        <w:rPr>
          <w:rFonts w:hAnsi="宋体"/>
          <w:color w:val="auto"/>
          <w:sz w:val="22"/>
          <w:szCs w:val="22"/>
          <w:highlight w:val="none"/>
          <w:lang w:val="zh-CN"/>
        </w:rPr>
      </w:pPr>
      <w:r>
        <w:rPr>
          <w:rFonts w:hint="eastAsia" w:hAnsi="宋体"/>
          <w:color w:val="auto"/>
          <w:sz w:val="22"/>
          <w:szCs w:val="22"/>
          <w:highlight w:val="none"/>
          <w:lang w:val="zh-CN"/>
        </w:rPr>
        <w:t>　  （二）异议和异议答复情况说明及相关证明材料；</w:t>
      </w:r>
    </w:p>
    <w:p>
      <w:pPr>
        <w:pStyle w:val="116"/>
        <w:spacing w:line="360" w:lineRule="auto"/>
        <w:ind w:left="-142" w:firstLine="140" w:firstLineChars="64"/>
        <w:rPr>
          <w:rFonts w:hAnsi="宋体"/>
          <w:color w:val="auto"/>
          <w:sz w:val="22"/>
          <w:szCs w:val="22"/>
          <w:highlight w:val="none"/>
          <w:lang w:val="zh-CN"/>
        </w:rPr>
      </w:pPr>
      <w:r>
        <w:rPr>
          <w:rFonts w:hint="eastAsia" w:hAnsi="宋体"/>
          <w:color w:val="auto"/>
          <w:sz w:val="22"/>
          <w:szCs w:val="22"/>
          <w:highlight w:val="none"/>
          <w:lang w:val="zh-CN"/>
        </w:rPr>
        <w:t>　　（三）具体、明确的投诉事项和与投诉事项相关的投诉请求；</w:t>
      </w:r>
    </w:p>
    <w:p>
      <w:pPr>
        <w:pStyle w:val="116"/>
        <w:spacing w:line="360" w:lineRule="auto"/>
        <w:ind w:left="-142" w:firstLine="140" w:firstLineChars="64"/>
        <w:rPr>
          <w:rFonts w:hAnsi="宋体"/>
          <w:color w:val="auto"/>
          <w:sz w:val="22"/>
          <w:szCs w:val="22"/>
          <w:highlight w:val="none"/>
          <w:lang w:val="zh-CN"/>
        </w:rPr>
      </w:pPr>
      <w:r>
        <w:rPr>
          <w:rFonts w:hint="eastAsia" w:hAnsi="宋体"/>
          <w:color w:val="auto"/>
          <w:sz w:val="22"/>
          <w:szCs w:val="22"/>
          <w:highlight w:val="none"/>
          <w:lang w:val="zh-CN"/>
        </w:rPr>
        <w:t>　　（四）事实依据；</w:t>
      </w:r>
    </w:p>
    <w:p>
      <w:pPr>
        <w:pStyle w:val="116"/>
        <w:spacing w:line="360" w:lineRule="auto"/>
        <w:ind w:left="-142" w:firstLine="140" w:firstLineChars="64"/>
        <w:rPr>
          <w:rFonts w:hAnsi="宋体"/>
          <w:color w:val="auto"/>
          <w:sz w:val="22"/>
          <w:szCs w:val="22"/>
          <w:highlight w:val="none"/>
          <w:lang w:val="zh-CN"/>
        </w:rPr>
      </w:pPr>
      <w:r>
        <w:rPr>
          <w:rFonts w:hint="eastAsia" w:hAnsi="宋体"/>
          <w:color w:val="auto"/>
          <w:sz w:val="22"/>
          <w:szCs w:val="22"/>
          <w:highlight w:val="none"/>
          <w:lang w:val="zh-CN"/>
        </w:rPr>
        <w:t>　　（五）法律依据；</w:t>
      </w:r>
    </w:p>
    <w:p>
      <w:pPr>
        <w:pStyle w:val="116"/>
        <w:spacing w:line="360" w:lineRule="auto"/>
        <w:ind w:left="-142" w:firstLine="140" w:firstLineChars="64"/>
        <w:rPr>
          <w:rFonts w:hAnsi="宋体"/>
          <w:color w:val="auto"/>
          <w:sz w:val="22"/>
          <w:szCs w:val="22"/>
          <w:highlight w:val="none"/>
          <w:lang w:val="zh-CN"/>
        </w:rPr>
      </w:pPr>
      <w:r>
        <w:rPr>
          <w:rFonts w:hint="eastAsia" w:hAnsi="宋体"/>
          <w:color w:val="auto"/>
          <w:sz w:val="22"/>
          <w:szCs w:val="22"/>
          <w:highlight w:val="none"/>
          <w:lang w:val="zh-CN"/>
        </w:rPr>
        <w:t>　　（六）提起投诉的日期。</w:t>
      </w:r>
    </w:p>
    <w:p>
      <w:pPr>
        <w:pStyle w:val="116"/>
        <w:spacing w:line="360" w:lineRule="auto"/>
        <w:ind w:left="420" w:firstLine="4" w:firstLineChars="2"/>
        <w:rPr>
          <w:rFonts w:hAnsi="宋体"/>
          <w:color w:val="auto"/>
          <w:sz w:val="22"/>
          <w:szCs w:val="22"/>
          <w:highlight w:val="none"/>
          <w:lang w:val="zh-CN"/>
        </w:rPr>
      </w:pPr>
      <w:r>
        <w:rPr>
          <w:rFonts w:hint="eastAsia" w:hAnsi="宋体"/>
          <w:color w:val="auto"/>
          <w:sz w:val="22"/>
          <w:szCs w:val="22"/>
          <w:highlight w:val="none"/>
          <w:lang w:val="zh-CN"/>
        </w:rPr>
        <w:t xml:space="preserve">  </w:t>
      </w:r>
      <w:r>
        <w:rPr>
          <w:rFonts w:hAnsi="宋体"/>
          <w:color w:val="auto"/>
          <w:sz w:val="22"/>
          <w:szCs w:val="22"/>
          <w:highlight w:val="none"/>
          <w:lang w:val="zh-CN"/>
        </w:rPr>
        <w:t xml:space="preserve">    </w:t>
      </w:r>
      <w:r>
        <w:rPr>
          <w:rFonts w:hint="eastAsia" w:hAnsi="宋体"/>
          <w:color w:val="auto"/>
          <w:sz w:val="22"/>
          <w:szCs w:val="22"/>
          <w:highlight w:val="none"/>
          <w:lang w:val="zh-CN"/>
        </w:rPr>
        <w:t>投诉人为法人或者其他组织的，应当由法定代表人、主要负责人，或者其授权代表签字或者盖章，并加盖公章。投诉人投诉的事项不得超出已异议事项的范围，但基于异议答复内容提出的投诉事项除外。</w:t>
      </w:r>
    </w:p>
    <w:p>
      <w:pPr>
        <w:snapToGrid w:val="0"/>
        <w:spacing w:line="360" w:lineRule="auto"/>
        <w:ind w:left="525" w:leftChars="250" w:firstLine="440" w:firstLineChars="200"/>
        <w:rPr>
          <w:rFonts w:ascii="宋体" w:hAnsi="宋体"/>
          <w:color w:val="auto"/>
          <w:sz w:val="22"/>
          <w:szCs w:val="22"/>
          <w:highlight w:val="none"/>
          <w:lang w:val="zh-CN"/>
        </w:rPr>
      </w:pPr>
      <w:r>
        <w:rPr>
          <w:rFonts w:hint="eastAsia" w:ascii="宋体" w:hAnsi="宋体"/>
          <w:color w:val="auto"/>
          <w:sz w:val="22"/>
          <w:szCs w:val="22"/>
          <w:highlight w:val="none"/>
          <w:lang w:val="zh-CN"/>
        </w:rPr>
        <w:t>投诉部门：东莞市轨道交通有限公司纪检监察部，联系电话：0</w:t>
      </w:r>
      <w:r>
        <w:rPr>
          <w:rFonts w:ascii="宋体" w:hAnsi="宋体"/>
          <w:color w:val="auto"/>
          <w:sz w:val="22"/>
          <w:szCs w:val="22"/>
          <w:highlight w:val="none"/>
          <w:lang w:val="zh-CN"/>
        </w:rPr>
        <w:t>769-</w:t>
      </w:r>
      <w:r>
        <w:rPr>
          <w:rFonts w:hint="eastAsia" w:ascii="宋体" w:hAnsi="宋体"/>
          <w:color w:val="auto"/>
          <w:sz w:val="22"/>
          <w:szCs w:val="22"/>
          <w:highlight w:val="none"/>
          <w:lang w:val="en-US" w:eastAsia="zh-CN"/>
        </w:rPr>
        <w:t>28639801，</w:t>
      </w:r>
      <w:r>
        <w:rPr>
          <w:rFonts w:hint="eastAsia"/>
          <w:color w:val="auto"/>
          <w:highlight w:val="none"/>
          <w:lang w:val="en-US" w:eastAsia="zh-CN"/>
        </w:rPr>
        <w:t>联系</w:t>
      </w:r>
      <w:r>
        <w:rPr>
          <w:rFonts w:hint="eastAsia" w:hAnsi="宋体" w:cs="Times New Roman"/>
          <w:color w:val="auto"/>
          <w:sz w:val="22"/>
          <w:szCs w:val="22"/>
          <w:highlight w:val="none"/>
          <w:lang w:val="zh-CN"/>
        </w:rPr>
        <w:t>地址：东莞市东莞大道116号</w:t>
      </w:r>
      <w:r>
        <w:rPr>
          <w:rFonts w:hint="eastAsia" w:ascii="宋体" w:hAnsi="宋体"/>
          <w:color w:val="auto"/>
          <w:sz w:val="22"/>
          <w:szCs w:val="22"/>
          <w:highlight w:val="none"/>
          <w:lang w:val="zh-CN"/>
        </w:rPr>
        <w:t>。</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14" w:name="_Toc61529843"/>
      <w:bookmarkStart w:id="115" w:name="_Hlk3198297"/>
      <w:r>
        <w:rPr>
          <w:rFonts w:hint="eastAsia" w:ascii="宋体" w:hAnsi="宋体"/>
          <w:b/>
          <w:bCs/>
          <w:color w:val="auto"/>
          <w:sz w:val="22"/>
          <w:szCs w:val="22"/>
          <w:highlight w:val="none"/>
        </w:rPr>
        <w:t>真实性审查</w:t>
      </w:r>
      <w:bookmarkEnd w:id="114"/>
    </w:p>
    <w:bookmarkEnd w:id="115"/>
    <w:p>
      <w:pPr>
        <w:pStyle w:val="116"/>
        <w:numPr>
          <w:ilvl w:val="0"/>
          <w:numId w:val="41"/>
        </w:numPr>
        <w:spacing w:after="60" w:line="360" w:lineRule="auto"/>
        <w:ind w:left="567" w:hanging="567" w:firstLineChars="0"/>
        <w:rPr>
          <w:rFonts w:ascii="宋体" w:hAnsi="宋体"/>
          <w:color w:val="auto"/>
          <w:sz w:val="22"/>
          <w:szCs w:val="22"/>
          <w:highlight w:val="none"/>
        </w:rPr>
      </w:pPr>
      <w:r>
        <w:rPr>
          <w:rFonts w:hint="eastAsia" w:hAnsi="宋体"/>
          <w:color w:val="auto"/>
          <w:sz w:val="22"/>
          <w:szCs w:val="22"/>
          <w:highlight w:val="none"/>
        </w:rPr>
        <w:t>在授予合同前，招标人（或其委托的招标代理机构）、或评标委员会有权组织对投标人的真实性审查。包括对投标人的资格证明文件、业绩证明文件、对招标文件实质性条款响应文件、履约能力证明文件的真实性进行核查，若发现其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取消其投标或中标候选人资格。</w:t>
      </w:r>
    </w:p>
    <w:p>
      <w:pPr>
        <w:pStyle w:val="116"/>
        <w:numPr>
          <w:ilvl w:val="0"/>
          <w:numId w:val="41"/>
        </w:numPr>
        <w:spacing w:after="60" w:line="360" w:lineRule="auto"/>
        <w:ind w:left="567" w:hanging="567" w:firstLineChars="0"/>
        <w:rPr>
          <w:rFonts w:ascii="宋体" w:hAnsi="宋体"/>
          <w:b/>
          <w:bCs/>
          <w:color w:val="auto"/>
          <w:sz w:val="22"/>
          <w:szCs w:val="22"/>
          <w:highlight w:val="none"/>
        </w:rPr>
      </w:pPr>
      <w:r>
        <w:rPr>
          <w:rFonts w:hint="eastAsia" w:hAnsi="宋体"/>
          <w:color w:val="auto"/>
          <w:sz w:val="22"/>
          <w:szCs w:val="22"/>
          <w:highlight w:val="none"/>
        </w:rPr>
        <w:t>投标人在招标人（或其委托的招标代理机构）、或评标委员会通知其提供上述证明资料原件进行核查的要求后，未能在约定的时间内提供原件进行核查的，视为投标人无法提供真实的资料， 招标人有权</w:t>
      </w:r>
      <w:r>
        <w:rPr>
          <w:rFonts w:hAnsi="宋体"/>
          <w:color w:val="auto"/>
          <w:sz w:val="22"/>
          <w:szCs w:val="22"/>
          <w:highlight w:val="none"/>
        </w:rPr>
        <w:t>按照评标委员会提出的中标候选人名单排序依次确定其他中标候选人为中标人或重新招标</w:t>
      </w:r>
      <w:r>
        <w:rPr>
          <w:rFonts w:hint="eastAsia" w:hAnsi="宋体"/>
          <w:color w:val="auto"/>
          <w:sz w:val="22"/>
          <w:szCs w:val="22"/>
          <w:highlight w:val="none"/>
        </w:rPr>
        <w:t>。</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16" w:name="_Toc441844087"/>
      <w:bookmarkStart w:id="117" w:name="_Toc61529844"/>
      <w:r>
        <w:rPr>
          <w:rFonts w:ascii="宋体" w:hAnsi="宋体"/>
          <w:b/>
          <w:bCs/>
          <w:color w:val="auto"/>
          <w:sz w:val="22"/>
          <w:szCs w:val="22"/>
          <w:highlight w:val="none"/>
        </w:rPr>
        <w:t>中标通知书</w:t>
      </w:r>
      <w:bookmarkEnd w:id="116"/>
      <w:bookmarkEnd w:id="117"/>
    </w:p>
    <w:p>
      <w:pPr>
        <w:pStyle w:val="116"/>
        <w:numPr>
          <w:ilvl w:val="0"/>
          <w:numId w:val="42"/>
        </w:numPr>
        <w:spacing w:line="360" w:lineRule="auto"/>
        <w:ind w:left="567" w:hanging="567" w:firstLineChars="0"/>
        <w:rPr>
          <w:rFonts w:ascii="宋体" w:hAnsi="宋体"/>
          <w:color w:val="auto"/>
          <w:sz w:val="22"/>
          <w:szCs w:val="22"/>
          <w:highlight w:val="none"/>
        </w:rPr>
      </w:pPr>
      <w:r>
        <w:rPr>
          <w:rFonts w:hint="eastAsia" w:ascii="宋体" w:hAnsi="宋体"/>
          <w:color w:val="auto"/>
          <w:sz w:val="22"/>
          <w:szCs w:val="22"/>
          <w:highlight w:val="none"/>
        </w:rPr>
        <w:t>中标人确定后，招标代理机构将向中标人发出中标通知书。</w:t>
      </w:r>
    </w:p>
    <w:p>
      <w:pPr>
        <w:pStyle w:val="116"/>
        <w:numPr>
          <w:ilvl w:val="0"/>
          <w:numId w:val="42"/>
        </w:numPr>
        <w:spacing w:line="360" w:lineRule="auto"/>
        <w:ind w:left="567" w:hanging="567" w:firstLineChars="0"/>
        <w:rPr>
          <w:rFonts w:ascii="宋体" w:hAnsi="宋体"/>
          <w:color w:val="auto"/>
          <w:sz w:val="22"/>
          <w:szCs w:val="22"/>
          <w:highlight w:val="none"/>
        </w:rPr>
      </w:pPr>
      <w:r>
        <w:rPr>
          <w:rFonts w:ascii="宋体" w:hAnsi="宋体"/>
          <w:color w:val="auto"/>
          <w:sz w:val="22"/>
          <w:szCs w:val="22"/>
          <w:highlight w:val="none"/>
        </w:rPr>
        <w:t>中标通知书是合同的一个组成部分。对招标人和中标人具有法律效力。中标通知书发出后，招标人改变中标结果的，或者中标人放弃中标项目的，应当依法承担法律责任。</w:t>
      </w:r>
    </w:p>
    <w:p>
      <w:pPr>
        <w:pStyle w:val="4"/>
        <w:tabs>
          <w:tab w:val="left" w:pos="142"/>
          <w:tab w:val="clear" w:pos="1440"/>
        </w:tabs>
        <w:ind w:left="0" w:firstLine="0"/>
        <w:rPr>
          <w:rFonts w:ascii="宋体" w:hAnsi="宋体" w:eastAsia="宋体"/>
          <w:color w:val="auto"/>
          <w:sz w:val="22"/>
          <w:szCs w:val="22"/>
          <w:highlight w:val="none"/>
          <w:lang w:val="zh-CN"/>
        </w:rPr>
      </w:pPr>
      <w:bookmarkStart w:id="118" w:name="_Toc427232330"/>
      <w:bookmarkStart w:id="119" w:name="_Toc441844088"/>
      <w:bookmarkStart w:id="120" w:name="_Toc61529845"/>
      <w:r>
        <w:rPr>
          <w:rFonts w:ascii="宋体" w:hAnsi="宋体" w:eastAsia="宋体"/>
          <w:color w:val="auto"/>
          <w:sz w:val="22"/>
          <w:szCs w:val="22"/>
          <w:highlight w:val="none"/>
          <w:lang w:val="zh-CN"/>
        </w:rPr>
        <w:t>（六）合同的授予</w:t>
      </w:r>
      <w:bookmarkEnd w:id="118"/>
      <w:bookmarkEnd w:id="119"/>
      <w:bookmarkEnd w:id="120"/>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21" w:name="_Toc427232331"/>
      <w:bookmarkStart w:id="122" w:name="_Toc441844089"/>
      <w:bookmarkStart w:id="123" w:name="_Toc61529846"/>
      <w:r>
        <w:rPr>
          <w:rFonts w:ascii="宋体" w:hAnsi="宋体"/>
          <w:b/>
          <w:bCs/>
          <w:color w:val="auto"/>
          <w:sz w:val="22"/>
          <w:szCs w:val="22"/>
          <w:highlight w:val="none"/>
        </w:rPr>
        <w:t>合同授予标准</w:t>
      </w:r>
      <w:bookmarkEnd w:id="121"/>
      <w:bookmarkEnd w:id="122"/>
      <w:bookmarkEnd w:id="123"/>
    </w:p>
    <w:p>
      <w:pPr>
        <w:pStyle w:val="99"/>
        <w:numPr>
          <w:ilvl w:val="0"/>
          <w:numId w:val="43"/>
        </w:numPr>
        <w:tabs>
          <w:tab w:val="left" w:pos="709"/>
        </w:tabs>
        <w:spacing w:line="360" w:lineRule="auto"/>
        <w:ind w:firstLineChars="0"/>
        <w:rPr>
          <w:rFonts w:ascii="宋体" w:hAnsi="宋体" w:eastAsia="宋体"/>
          <w:color w:val="auto"/>
          <w:kern w:val="0"/>
          <w:sz w:val="22"/>
          <w:szCs w:val="22"/>
          <w:highlight w:val="none"/>
          <w:lang w:val="zh-CN"/>
        </w:rPr>
      </w:pPr>
      <w:r>
        <w:rPr>
          <w:rFonts w:ascii="宋体" w:hAnsi="宋体" w:eastAsia="宋体"/>
          <w:color w:val="auto"/>
          <w:kern w:val="0"/>
          <w:sz w:val="22"/>
          <w:szCs w:val="22"/>
          <w:highlight w:val="none"/>
          <w:lang w:val="zh-CN"/>
        </w:rPr>
        <w:t>招标人按评标委员会得出的评标结果，在评标委员会推荐的中标候选人依法确定中标人，并将合同授予之。</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24" w:name="_Toc441844090"/>
      <w:bookmarkStart w:id="125" w:name="_Toc61529847"/>
      <w:bookmarkStart w:id="126" w:name="_Toc326689400"/>
      <w:bookmarkStart w:id="127" w:name="_Toc427232334"/>
      <w:bookmarkStart w:id="128" w:name="_Toc321917131"/>
      <w:bookmarkStart w:id="129" w:name="_Toc321994755"/>
      <w:bookmarkStart w:id="130" w:name="_Toc401738073"/>
      <w:bookmarkStart w:id="131" w:name="_Toc395863102"/>
      <w:bookmarkStart w:id="132" w:name="_Toc326689490"/>
      <w:r>
        <w:rPr>
          <w:rFonts w:ascii="宋体" w:hAnsi="宋体"/>
          <w:b/>
          <w:bCs/>
          <w:color w:val="auto"/>
          <w:sz w:val="22"/>
          <w:szCs w:val="22"/>
          <w:highlight w:val="none"/>
        </w:rPr>
        <w:t>接受和拒绝任何或所有投标的权利</w:t>
      </w:r>
      <w:bookmarkEnd w:id="124"/>
      <w:bookmarkEnd w:id="125"/>
    </w:p>
    <w:p>
      <w:pPr>
        <w:pStyle w:val="99"/>
        <w:numPr>
          <w:ilvl w:val="0"/>
          <w:numId w:val="44"/>
        </w:numPr>
        <w:spacing w:line="360" w:lineRule="auto"/>
        <w:ind w:left="567" w:hanging="567" w:firstLineChars="0"/>
        <w:rPr>
          <w:rFonts w:ascii="宋体" w:hAnsi="宋体" w:eastAsia="宋体"/>
          <w:color w:val="auto"/>
          <w:kern w:val="0"/>
          <w:sz w:val="22"/>
          <w:szCs w:val="22"/>
          <w:highlight w:val="none"/>
          <w:lang w:val="zh-CN"/>
        </w:rPr>
      </w:pPr>
      <w:bookmarkStart w:id="133" w:name="_Toc321994754"/>
      <w:bookmarkStart w:id="134" w:name="_Toc395863101"/>
      <w:bookmarkStart w:id="135" w:name="_Toc427232333"/>
      <w:bookmarkStart w:id="136" w:name="_Toc401738072"/>
      <w:bookmarkStart w:id="137" w:name="_Toc326689399"/>
      <w:bookmarkStart w:id="138" w:name="_Toc321917130"/>
      <w:bookmarkStart w:id="139" w:name="_Toc326689489"/>
      <w:bookmarkStart w:id="140" w:name="_Toc441844091"/>
      <w:r>
        <w:rPr>
          <w:rFonts w:ascii="宋体" w:hAnsi="宋体" w:eastAsia="宋体"/>
          <w:color w:val="auto"/>
          <w:kern w:val="0"/>
          <w:sz w:val="22"/>
          <w:szCs w:val="22"/>
          <w:highlight w:val="none"/>
          <w:lang w:val="zh-CN"/>
        </w:rPr>
        <w:t>招标人在确定中标人之前，有权依据评标委员</w:t>
      </w:r>
      <w:bookmarkEnd w:id="133"/>
      <w:bookmarkEnd w:id="134"/>
      <w:bookmarkEnd w:id="135"/>
      <w:bookmarkEnd w:id="136"/>
      <w:bookmarkEnd w:id="137"/>
      <w:bookmarkEnd w:id="138"/>
      <w:bookmarkEnd w:id="139"/>
      <w:r>
        <w:rPr>
          <w:rFonts w:ascii="宋体" w:hAnsi="宋体" w:eastAsia="宋体"/>
          <w:color w:val="auto"/>
          <w:kern w:val="0"/>
          <w:sz w:val="22"/>
          <w:szCs w:val="22"/>
          <w:highlight w:val="none"/>
          <w:lang w:val="zh-CN"/>
        </w:rPr>
        <w:t>会的评标报告拒绝不合格的投标。</w:t>
      </w:r>
      <w:bookmarkEnd w:id="140"/>
    </w:p>
    <w:p>
      <w:pPr>
        <w:pStyle w:val="99"/>
        <w:numPr>
          <w:ilvl w:val="0"/>
          <w:numId w:val="44"/>
        </w:numPr>
        <w:spacing w:line="360" w:lineRule="auto"/>
        <w:ind w:left="567" w:hanging="567" w:firstLineChars="0"/>
        <w:rPr>
          <w:rFonts w:ascii="宋体" w:eastAsia="宋体"/>
          <w:color w:val="auto"/>
          <w:sz w:val="22"/>
          <w:szCs w:val="22"/>
          <w:highlight w:val="none"/>
        </w:rPr>
      </w:pPr>
      <w:r>
        <w:rPr>
          <w:rFonts w:ascii="宋体" w:eastAsia="宋体"/>
          <w:color w:val="auto"/>
          <w:sz w:val="22"/>
          <w:szCs w:val="22"/>
          <w:highlight w:val="none"/>
        </w:rPr>
        <w:t>招标代理机构和招标人保留在授标之前任何时候接受或拒绝任何投标，以及宣布招标程序无效或拒绝所有投标的权利，对受影响的投标人不承担任何责任。</w:t>
      </w:r>
      <w:bookmarkEnd w:id="126"/>
      <w:bookmarkEnd w:id="127"/>
      <w:bookmarkEnd w:id="128"/>
      <w:bookmarkEnd w:id="129"/>
      <w:bookmarkEnd w:id="130"/>
      <w:bookmarkEnd w:id="131"/>
      <w:bookmarkEnd w:id="132"/>
    </w:p>
    <w:p>
      <w:pPr>
        <w:pStyle w:val="99"/>
        <w:numPr>
          <w:ilvl w:val="0"/>
          <w:numId w:val="44"/>
        </w:numPr>
        <w:spacing w:line="360" w:lineRule="auto"/>
        <w:ind w:left="567" w:hanging="567" w:firstLineChars="0"/>
        <w:rPr>
          <w:rFonts w:ascii="宋体" w:eastAsia="宋体"/>
          <w:color w:val="auto"/>
          <w:sz w:val="22"/>
          <w:szCs w:val="22"/>
          <w:highlight w:val="none"/>
        </w:rPr>
      </w:pPr>
      <w:r>
        <w:rPr>
          <w:rFonts w:hint="eastAsia" w:ascii="宋体" w:eastAsia="宋体"/>
          <w:color w:val="auto"/>
          <w:sz w:val="22"/>
          <w:szCs w:val="22"/>
          <w:highlight w:val="none"/>
        </w:rPr>
        <w:t>因不可抗力或自身原因不能履行合同的、不按要求与招标人签订合同、中标人放弃中标、中标资格被依法确认无效的，招标</w:t>
      </w:r>
      <w:r>
        <w:rPr>
          <w:rFonts w:ascii="宋体" w:eastAsia="宋体"/>
          <w:color w:val="auto"/>
          <w:sz w:val="22"/>
          <w:szCs w:val="22"/>
          <w:highlight w:val="none"/>
        </w:rPr>
        <w:t>人可以按照评标委员会提出的中标候选人名单排序依次确定其他中标候选人为中标人或重新招标。</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41" w:name="_Toc441844092"/>
      <w:bookmarkStart w:id="142" w:name="_Toc427232335"/>
      <w:bookmarkStart w:id="143" w:name="_Toc61529848"/>
      <w:r>
        <w:rPr>
          <w:rFonts w:ascii="宋体" w:hAnsi="宋体"/>
          <w:b/>
          <w:bCs/>
          <w:color w:val="auto"/>
          <w:sz w:val="22"/>
          <w:szCs w:val="22"/>
          <w:highlight w:val="none"/>
        </w:rPr>
        <w:t>授标时更改采购数量的权利</w:t>
      </w:r>
      <w:bookmarkEnd w:id="141"/>
      <w:bookmarkEnd w:id="142"/>
      <w:bookmarkEnd w:id="143"/>
    </w:p>
    <w:p>
      <w:pPr>
        <w:spacing w:after="60" w:line="360" w:lineRule="auto"/>
        <w:ind w:left="422" w:leftChars="199" w:hanging="4" w:hangingChars="2"/>
        <w:rPr>
          <w:rFonts w:ascii="宋体" w:hAnsi="宋体"/>
          <w:color w:val="auto"/>
          <w:sz w:val="22"/>
          <w:szCs w:val="22"/>
          <w:highlight w:val="none"/>
        </w:rPr>
      </w:pPr>
      <w:r>
        <w:rPr>
          <w:rFonts w:ascii="宋体" w:hAnsi="宋体"/>
          <w:color w:val="auto"/>
          <w:sz w:val="22"/>
          <w:szCs w:val="22"/>
          <w:highlight w:val="none"/>
        </w:rPr>
        <w:t>招标人在授予合同时有权在（数量增减变更：</w:t>
      </w:r>
      <w:r>
        <w:rPr>
          <w:rFonts w:hint="eastAsia" w:ascii="宋体" w:hAnsi="宋体"/>
          <w:color w:val="auto"/>
          <w:sz w:val="22"/>
          <w:szCs w:val="22"/>
          <w:highlight w:val="none"/>
        </w:rPr>
        <w:t>中标</w:t>
      </w:r>
      <w:r>
        <w:rPr>
          <w:rFonts w:ascii="宋体" w:hAnsi="宋体"/>
          <w:color w:val="auto"/>
          <w:sz w:val="22"/>
          <w:szCs w:val="22"/>
          <w:highlight w:val="none"/>
        </w:rPr>
        <w:t>价的±10%）幅度内对“用户需求书”中规定的</w:t>
      </w:r>
      <w:r>
        <w:rPr>
          <w:rFonts w:hint="eastAsia" w:ascii="宋体" w:hAnsi="宋体"/>
          <w:color w:val="auto"/>
          <w:sz w:val="22"/>
          <w:szCs w:val="22"/>
          <w:highlight w:val="none"/>
        </w:rPr>
        <w:t>货物或服</w:t>
      </w:r>
      <w:r>
        <w:rPr>
          <w:rFonts w:ascii="宋体" w:hAnsi="宋体"/>
          <w:color w:val="auto"/>
          <w:sz w:val="22"/>
          <w:szCs w:val="22"/>
          <w:highlight w:val="none"/>
        </w:rPr>
        <w:t>物</w:t>
      </w:r>
      <w:r>
        <w:rPr>
          <w:rFonts w:hint="eastAsia" w:ascii="宋体" w:hAnsi="宋体"/>
          <w:color w:val="auto"/>
          <w:sz w:val="22"/>
          <w:szCs w:val="22"/>
          <w:highlight w:val="none"/>
        </w:rPr>
        <w:t>范围</w:t>
      </w:r>
      <w:r>
        <w:rPr>
          <w:rFonts w:ascii="宋体" w:hAnsi="宋体"/>
          <w:color w:val="auto"/>
          <w:sz w:val="22"/>
          <w:szCs w:val="22"/>
          <w:highlight w:val="none"/>
        </w:rPr>
        <w:t>予以增加或减少，但不得对单价或其它的条款和条件做任何改变。</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44" w:name="_Toc427232337"/>
      <w:bookmarkStart w:id="145" w:name="_Toc441844093"/>
      <w:bookmarkStart w:id="146" w:name="_Toc61529849"/>
      <w:r>
        <w:rPr>
          <w:rFonts w:ascii="宋体" w:hAnsi="宋体"/>
          <w:b/>
          <w:bCs/>
          <w:color w:val="auto"/>
          <w:sz w:val="22"/>
          <w:szCs w:val="22"/>
          <w:highlight w:val="none"/>
        </w:rPr>
        <w:t>履约</w:t>
      </w:r>
      <w:bookmarkEnd w:id="144"/>
      <w:bookmarkEnd w:id="145"/>
      <w:r>
        <w:rPr>
          <w:rFonts w:hint="eastAsia" w:ascii="宋体" w:hAnsi="宋体"/>
          <w:b/>
          <w:bCs/>
          <w:color w:val="auto"/>
          <w:sz w:val="22"/>
          <w:szCs w:val="22"/>
          <w:highlight w:val="none"/>
        </w:rPr>
        <w:t>担保</w:t>
      </w:r>
      <w:bookmarkEnd w:id="146"/>
    </w:p>
    <w:p>
      <w:pPr>
        <w:pStyle w:val="116"/>
        <w:numPr>
          <w:ilvl w:val="0"/>
          <w:numId w:val="45"/>
        </w:numPr>
        <w:spacing w:line="360" w:lineRule="auto"/>
        <w:ind w:left="567" w:hanging="563" w:firstLineChars="0"/>
        <w:rPr>
          <w:rFonts w:ascii="宋体" w:hAnsi="宋体"/>
          <w:color w:val="auto"/>
          <w:sz w:val="22"/>
          <w:szCs w:val="22"/>
          <w:highlight w:val="none"/>
        </w:rPr>
      </w:pPr>
      <w:r>
        <w:rPr>
          <w:rFonts w:hint="eastAsia" w:ascii="宋体" w:hAnsi="宋体"/>
          <w:color w:val="auto"/>
          <w:sz w:val="22"/>
          <w:szCs w:val="22"/>
          <w:highlight w:val="none"/>
        </w:rPr>
        <w:t>中标的投标人必须在发出通知后的十个日历日内交纳履约担保，其提交履约担保金额</w:t>
      </w:r>
      <w:r>
        <w:rPr>
          <w:rFonts w:hint="eastAsia" w:ascii="宋体" w:hAnsi="宋体"/>
          <w:b/>
          <w:color w:val="auto"/>
          <w:sz w:val="22"/>
          <w:szCs w:val="22"/>
          <w:highlight w:val="none"/>
          <w:u w:val="single"/>
        </w:rPr>
        <w:t>详见《投标人须知前附表》</w:t>
      </w:r>
      <w:r>
        <w:rPr>
          <w:rFonts w:hint="eastAsia" w:ascii="宋体" w:hAnsi="宋体"/>
          <w:color w:val="auto"/>
          <w:sz w:val="22"/>
          <w:szCs w:val="22"/>
          <w:highlight w:val="none"/>
        </w:rPr>
        <w:t>。</w:t>
      </w:r>
    </w:p>
    <w:p>
      <w:pPr>
        <w:pStyle w:val="116"/>
        <w:numPr>
          <w:ilvl w:val="0"/>
          <w:numId w:val="45"/>
        </w:numPr>
        <w:spacing w:line="360" w:lineRule="auto"/>
        <w:ind w:left="567" w:hanging="563" w:firstLineChars="0"/>
        <w:rPr>
          <w:rFonts w:ascii="宋体" w:hAnsi="宋体"/>
          <w:color w:val="auto"/>
          <w:sz w:val="22"/>
          <w:szCs w:val="22"/>
          <w:highlight w:val="none"/>
        </w:rPr>
      </w:pPr>
      <w:r>
        <w:rPr>
          <w:rFonts w:ascii="宋体" w:hAnsi="宋体"/>
          <w:color w:val="auto"/>
          <w:sz w:val="22"/>
          <w:szCs w:val="22"/>
          <w:highlight w:val="none"/>
        </w:rPr>
        <w:t xml:space="preserve"> 履约</w:t>
      </w:r>
      <w:r>
        <w:rPr>
          <w:rFonts w:hint="eastAsia" w:ascii="宋体" w:hAnsi="宋体"/>
          <w:color w:val="auto"/>
          <w:sz w:val="22"/>
          <w:szCs w:val="22"/>
          <w:highlight w:val="none"/>
        </w:rPr>
        <w:t>担保</w:t>
      </w:r>
      <w:r>
        <w:rPr>
          <w:rFonts w:ascii="宋体" w:hAnsi="宋体"/>
          <w:color w:val="auto"/>
          <w:sz w:val="22"/>
          <w:szCs w:val="22"/>
          <w:highlight w:val="none"/>
        </w:rPr>
        <w:t>可以采用下列任何一种形式：</w:t>
      </w:r>
    </w:p>
    <w:p>
      <w:pPr>
        <w:pStyle w:val="116"/>
        <w:numPr>
          <w:ilvl w:val="0"/>
          <w:numId w:val="46"/>
        </w:numPr>
        <w:spacing w:line="360" w:lineRule="auto"/>
        <w:ind w:left="709" w:hanging="709"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银行履约保函。银行保函必须是无条件不可撤销保函，必须由国有商业或股份制商业银行的支行或以上级别机构出具，由非东莞市境内银行出具的银行保函需经银行所在地公证机关公证。银行保函的内容，应符合招标文件、招标响应文件和采购合同的要求。银行保函从合同签订之日起到合同完成并结算完毕后28天内保持有效。如果中标人提交的银行保函的有效期届满时间先于招标文件、合同文件要求的，中标人应在原提交的银行保函有效期届满前15天内，无条件办理银行保函延期手续，否则视为中标人违约，招标人可在银行保函到期前将银行保函金额转为现金存入履约保证金专户（格式详见附件投标须知附件一）。</w:t>
      </w:r>
    </w:p>
    <w:p>
      <w:pPr>
        <w:pStyle w:val="116"/>
        <w:numPr>
          <w:ilvl w:val="0"/>
          <w:numId w:val="46"/>
        </w:numPr>
        <w:spacing w:line="360" w:lineRule="auto"/>
        <w:ind w:left="709" w:hanging="709"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可采用电汇、银行转帐方式提交，但不可以采用现金方式提交。中标人必须保证资金以中标人的名称在合同约定的日期前到帐（以银行收到为准）。保证金汇入履约保证金专用账户详见《投标人须知前附表》。</w:t>
      </w:r>
    </w:p>
    <w:p>
      <w:pPr>
        <w:pStyle w:val="116"/>
        <w:numPr>
          <w:ilvl w:val="0"/>
          <w:numId w:val="45"/>
        </w:numPr>
        <w:spacing w:line="360" w:lineRule="auto"/>
        <w:ind w:left="567" w:hanging="563" w:firstLineChars="0"/>
        <w:rPr>
          <w:rFonts w:ascii="宋体" w:hAnsi="宋体"/>
          <w:color w:val="auto"/>
          <w:sz w:val="22"/>
          <w:szCs w:val="22"/>
          <w:highlight w:val="none"/>
        </w:rPr>
      </w:pPr>
      <w:r>
        <w:rPr>
          <w:rFonts w:ascii="宋体" w:hAnsi="宋体"/>
          <w:color w:val="auto"/>
          <w:sz w:val="22"/>
          <w:szCs w:val="22"/>
          <w:highlight w:val="none"/>
        </w:rPr>
        <w:t>中标人未按规定时间提交履约</w:t>
      </w:r>
      <w:r>
        <w:rPr>
          <w:rFonts w:hint="eastAsia" w:ascii="宋体" w:hAnsi="宋体"/>
          <w:color w:val="auto"/>
          <w:sz w:val="22"/>
          <w:szCs w:val="22"/>
          <w:highlight w:val="none"/>
        </w:rPr>
        <w:t>担保</w:t>
      </w:r>
      <w:r>
        <w:rPr>
          <w:rFonts w:ascii="宋体" w:hAnsi="宋体"/>
          <w:color w:val="auto"/>
          <w:sz w:val="22"/>
          <w:szCs w:val="22"/>
          <w:highlight w:val="none"/>
        </w:rPr>
        <w:t>所造成的后果由中标人承担，同时招标</w:t>
      </w:r>
      <w:r>
        <w:rPr>
          <w:rFonts w:hint="eastAsia" w:ascii="宋体" w:hAnsi="宋体"/>
          <w:color w:val="auto"/>
          <w:sz w:val="22"/>
          <w:szCs w:val="22"/>
          <w:highlight w:val="none"/>
        </w:rPr>
        <w:t>人</w:t>
      </w:r>
      <w:r>
        <w:rPr>
          <w:rFonts w:ascii="宋体" w:hAnsi="宋体"/>
          <w:color w:val="auto"/>
          <w:sz w:val="22"/>
          <w:szCs w:val="22"/>
          <w:highlight w:val="none"/>
        </w:rPr>
        <w:t>保留取消其中标资格的权力。</w:t>
      </w:r>
    </w:p>
    <w:p>
      <w:pPr>
        <w:pStyle w:val="116"/>
        <w:numPr>
          <w:ilvl w:val="0"/>
          <w:numId w:val="45"/>
        </w:numPr>
        <w:spacing w:line="360" w:lineRule="auto"/>
        <w:ind w:left="567" w:hanging="563" w:firstLineChars="0"/>
        <w:rPr>
          <w:rFonts w:ascii="宋体" w:hAnsi="宋体"/>
          <w:color w:val="auto"/>
          <w:sz w:val="22"/>
          <w:szCs w:val="22"/>
          <w:highlight w:val="none"/>
        </w:rPr>
      </w:pPr>
      <w:r>
        <w:rPr>
          <w:rFonts w:ascii="宋体" w:hAnsi="宋体"/>
          <w:color w:val="auto"/>
          <w:sz w:val="22"/>
          <w:szCs w:val="22"/>
          <w:highlight w:val="none"/>
        </w:rPr>
        <w:t>履约</w:t>
      </w:r>
      <w:r>
        <w:rPr>
          <w:rFonts w:hint="eastAsia" w:ascii="宋体" w:hAnsi="宋体"/>
          <w:color w:val="auto"/>
          <w:sz w:val="22"/>
          <w:szCs w:val="22"/>
          <w:highlight w:val="none"/>
        </w:rPr>
        <w:t>担保</w:t>
      </w:r>
      <w:r>
        <w:rPr>
          <w:rFonts w:ascii="宋体" w:hAnsi="宋体"/>
          <w:color w:val="auto"/>
          <w:sz w:val="22"/>
          <w:szCs w:val="22"/>
          <w:highlight w:val="none"/>
        </w:rPr>
        <w:t>的退还条件：</w:t>
      </w:r>
    </w:p>
    <w:p>
      <w:pPr>
        <w:spacing w:line="360" w:lineRule="auto"/>
        <w:ind w:left="657" w:leftChars="313"/>
        <w:rPr>
          <w:rFonts w:ascii="宋体" w:hAnsi="宋体"/>
          <w:color w:val="auto"/>
          <w:sz w:val="22"/>
          <w:szCs w:val="22"/>
          <w:highlight w:val="none"/>
        </w:rPr>
      </w:pPr>
      <w:r>
        <w:rPr>
          <w:rFonts w:ascii="宋体" w:hAnsi="宋体"/>
          <w:color w:val="auto"/>
          <w:sz w:val="22"/>
          <w:szCs w:val="22"/>
          <w:highlight w:val="none"/>
        </w:rPr>
        <w:t>中标人在依法履行完毕采购合同后，中标</w:t>
      </w:r>
      <w:r>
        <w:rPr>
          <w:rFonts w:hint="eastAsia" w:ascii="宋体" w:hAnsi="宋体"/>
          <w:color w:val="auto"/>
          <w:sz w:val="22"/>
          <w:szCs w:val="22"/>
          <w:highlight w:val="none"/>
        </w:rPr>
        <w:t>人</w:t>
      </w:r>
      <w:r>
        <w:rPr>
          <w:rFonts w:ascii="宋体" w:hAnsi="宋体"/>
          <w:color w:val="auto"/>
          <w:sz w:val="22"/>
          <w:szCs w:val="22"/>
          <w:highlight w:val="none"/>
        </w:rPr>
        <w:t>可向招标人提交退回履约</w:t>
      </w:r>
      <w:r>
        <w:rPr>
          <w:rFonts w:hint="eastAsia" w:ascii="宋体" w:hAnsi="宋体"/>
          <w:color w:val="auto"/>
          <w:sz w:val="22"/>
          <w:szCs w:val="22"/>
          <w:highlight w:val="none"/>
        </w:rPr>
        <w:t>担保</w:t>
      </w:r>
      <w:r>
        <w:rPr>
          <w:rFonts w:ascii="宋体" w:hAnsi="宋体"/>
          <w:color w:val="auto"/>
          <w:sz w:val="22"/>
          <w:szCs w:val="22"/>
          <w:highlight w:val="none"/>
        </w:rPr>
        <w:t>的申请，招标人收到中标</w:t>
      </w:r>
      <w:r>
        <w:rPr>
          <w:rFonts w:hint="eastAsia" w:ascii="宋体" w:hAnsi="宋体"/>
          <w:color w:val="auto"/>
          <w:sz w:val="22"/>
          <w:szCs w:val="22"/>
          <w:highlight w:val="none"/>
        </w:rPr>
        <w:t>人</w:t>
      </w:r>
      <w:r>
        <w:rPr>
          <w:rFonts w:ascii="宋体" w:hAnsi="宋体"/>
          <w:color w:val="auto"/>
          <w:sz w:val="22"/>
          <w:szCs w:val="22"/>
          <w:highlight w:val="none"/>
        </w:rPr>
        <w:t>的退回履约</w:t>
      </w:r>
      <w:r>
        <w:rPr>
          <w:rFonts w:hint="eastAsia" w:ascii="宋体" w:hAnsi="宋体"/>
          <w:color w:val="auto"/>
          <w:sz w:val="22"/>
          <w:szCs w:val="22"/>
          <w:highlight w:val="none"/>
        </w:rPr>
        <w:t>担保</w:t>
      </w:r>
      <w:r>
        <w:rPr>
          <w:rFonts w:ascii="宋体" w:hAnsi="宋体"/>
          <w:color w:val="auto"/>
          <w:sz w:val="22"/>
          <w:szCs w:val="22"/>
          <w:highlight w:val="none"/>
        </w:rPr>
        <w:t>申请后，3个工作日内予以答复，并在申请书上加具意见和办理履约</w:t>
      </w:r>
      <w:r>
        <w:rPr>
          <w:rFonts w:hint="eastAsia" w:ascii="宋体" w:hAnsi="宋体"/>
          <w:color w:val="auto"/>
          <w:sz w:val="22"/>
          <w:szCs w:val="22"/>
          <w:highlight w:val="none"/>
        </w:rPr>
        <w:t>担保</w:t>
      </w:r>
      <w:r>
        <w:rPr>
          <w:rFonts w:ascii="宋体" w:hAnsi="宋体"/>
          <w:color w:val="auto"/>
          <w:sz w:val="22"/>
          <w:szCs w:val="22"/>
          <w:highlight w:val="none"/>
        </w:rPr>
        <w:t>退回手续。</w:t>
      </w:r>
    </w:p>
    <w:p>
      <w:pPr>
        <w:pStyle w:val="116"/>
        <w:numPr>
          <w:ilvl w:val="0"/>
          <w:numId w:val="45"/>
        </w:numPr>
        <w:spacing w:line="360" w:lineRule="auto"/>
        <w:ind w:left="567" w:hanging="563" w:firstLineChars="0"/>
        <w:rPr>
          <w:rFonts w:ascii="宋体" w:hAnsi="宋体"/>
          <w:color w:val="auto"/>
          <w:sz w:val="22"/>
          <w:szCs w:val="22"/>
          <w:highlight w:val="none"/>
        </w:rPr>
      </w:pPr>
      <w:r>
        <w:rPr>
          <w:rFonts w:ascii="宋体" w:hAnsi="宋体"/>
          <w:color w:val="auto"/>
          <w:sz w:val="22"/>
          <w:szCs w:val="22"/>
          <w:highlight w:val="none"/>
        </w:rPr>
        <w:t xml:space="preserve"> 下列情况履约</w:t>
      </w:r>
      <w:r>
        <w:rPr>
          <w:rFonts w:hint="eastAsia" w:ascii="宋体" w:hAnsi="宋体"/>
          <w:color w:val="auto"/>
          <w:sz w:val="22"/>
          <w:szCs w:val="22"/>
          <w:highlight w:val="none"/>
        </w:rPr>
        <w:t>担保</w:t>
      </w:r>
      <w:r>
        <w:rPr>
          <w:rFonts w:ascii="宋体" w:hAnsi="宋体"/>
          <w:color w:val="auto"/>
          <w:sz w:val="22"/>
          <w:szCs w:val="22"/>
          <w:highlight w:val="none"/>
        </w:rPr>
        <w:t>将会被没收：</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（1）中标人将中标项目转让给他人，或者在投标文件中未说明，且未经招标人同意将中标项目分包给他人的；</w:t>
      </w:r>
    </w:p>
    <w:p>
      <w:pPr>
        <w:spacing w:line="360" w:lineRule="auto"/>
        <w:ind w:left="1075" w:leftChars="250" w:hanging="550" w:hangingChars="250"/>
        <w:rPr>
          <w:rFonts w:ascii="宋体" w:hAnsi="宋体"/>
          <w:color w:val="auto"/>
          <w:sz w:val="22"/>
          <w:szCs w:val="22"/>
          <w:highlight w:val="none"/>
        </w:rPr>
      </w:pPr>
      <w:r>
        <w:rPr>
          <w:rFonts w:ascii="宋体" w:hAnsi="宋体"/>
          <w:color w:val="auto"/>
          <w:sz w:val="22"/>
          <w:szCs w:val="22"/>
          <w:highlight w:val="none"/>
        </w:rPr>
        <w:t>（2）中标人在履行合同期间，违反相关法律法规的规定及合同约定条款，损害了招标人利益的。</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47" w:name="_Toc427232338"/>
      <w:bookmarkStart w:id="148" w:name="_Toc441844094"/>
      <w:bookmarkStart w:id="149" w:name="_Toc61529850"/>
      <w:r>
        <w:rPr>
          <w:rFonts w:ascii="宋体" w:hAnsi="宋体"/>
          <w:b/>
          <w:bCs/>
          <w:color w:val="auto"/>
          <w:sz w:val="22"/>
          <w:szCs w:val="22"/>
          <w:highlight w:val="none"/>
        </w:rPr>
        <w:t>合同协议书的签订</w:t>
      </w:r>
      <w:bookmarkEnd w:id="147"/>
      <w:bookmarkEnd w:id="148"/>
      <w:bookmarkEnd w:id="149"/>
    </w:p>
    <w:p>
      <w:pPr>
        <w:pStyle w:val="99"/>
        <w:numPr>
          <w:ilvl w:val="0"/>
          <w:numId w:val="47"/>
        </w:numPr>
        <w:spacing w:line="360" w:lineRule="auto"/>
        <w:ind w:left="567" w:hanging="567" w:firstLineChars="0"/>
        <w:rPr>
          <w:rFonts w:ascii="宋体" w:hAnsi="宋体" w:eastAsia="宋体"/>
          <w:color w:val="auto"/>
          <w:kern w:val="0"/>
          <w:sz w:val="22"/>
          <w:szCs w:val="22"/>
          <w:highlight w:val="none"/>
          <w:lang w:val="zh-CN"/>
        </w:rPr>
      </w:pPr>
      <w:r>
        <w:rPr>
          <w:rFonts w:ascii="宋体" w:hAnsi="宋体" w:eastAsia="宋体"/>
          <w:color w:val="auto"/>
          <w:kern w:val="0"/>
          <w:sz w:val="22"/>
          <w:szCs w:val="22"/>
          <w:highlight w:val="none"/>
          <w:lang w:val="zh-CN"/>
        </w:rPr>
        <w:t>招标人与中标人必须在中标通知书发出之日起三十日内，按照招标文件和中标人的投标文件及其澄清文件等订立书面合同，招标人和中标人不得再行订立背离合同实质性内容的其他协议。合同签订之日起七个工作日内，中标人须</w:t>
      </w:r>
      <w:r>
        <w:rPr>
          <w:rFonts w:hint="eastAsia" w:ascii="宋体" w:hAnsi="宋体" w:eastAsia="宋体"/>
          <w:color w:val="auto"/>
          <w:kern w:val="0"/>
          <w:sz w:val="22"/>
          <w:szCs w:val="22"/>
          <w:highlight w:val="none"/>
          <w:lang w:val="zh-CN"/>
        </w:rPr>
        <w:t>向</w:t>
      </w:r>
      <w:r>
        <w:rPr>
          <w:rFonts w:ascii="宋体" w:hAnsi="宋体" w:eastAsia="宋体"/>
          <w:color w:val="auto"/>
          <w:kern w:val="0"/>
          <w:sz w:val="22"/>
          <w:szCs w:val="22"/>
          <w:highlight w:val="none"/>
          <w:lang w:val="zh-CN"/>
        </w:rPr>
        <w:t>招标代理机构</w:t>
      </w:r>
      <w:r>
        <w:rPr>
          <w:rFonts w:hint="eastAsia" w:ascii="宋体" w:hAnsi="宋体" w:eastAsia="宋体"/>
          <w:color w:val="auto"/>
          <w:kern w:val="0"/>
          <w:sz w:val="22"/>
          <w:szCs w:val="22"/>
          <w:highlight w:val="none"/>
          <w:lang w:val="zh-CN"/>
        </w:rPr>
        <w:t>提交一份合同副本</w:t>
      </w:r>
      <w:r>
        <w:rPr>
          <w:rFonts w:ascii="宋体" w:hAnsi="宋体" w:eastAsia="宋体"/>
          <w:color w:val="auto"/>
          <w:kern w:val="0"/>
          <w:sz w:val="22"/>
          <w:szCs w:val="22"/>
          <w:highlight w:val="none"/>
          <w:lang w:val="zh-CN"/>
        </w:rPr>
        <w:t>。</w:t>
      </w:r>
    </w:p>
    <w:p>
      <w:pPr>
        <w:pStyle w:val="99"/>
        <w:numPr>
          <w:ilvl w:val="0"/>
          <w:numId w:val="47"/>
        </w:numPr>
        <w:spacing w:line="360" w:lineRule="auto"/>
        <w:ind w:left="567" w:hanging="567" w:firstLineChars="0"/>
        <w:rPr>
          <w:rFonts w:ascii="宋体"/>
          <w:color w:val="auto"/>
          <w:sz w:val="22"/>
          <w:szCs w:val="22"/>
          <w:highlight w:val="none"/>
        </w:rPr>
      </w:pPr>
      <w:r>
        <w:rPr>
          <w:rFonts w:ascii="宋体" w:eastAsia="宋体"/>
          <w:color w:val="auto"/>
          <w:sz w:val="22"/>
          <w:szCs w:val="22"/>
          <w:highlight w:val="none"/>
        </w:rPr>
        <w:t>“招标文件”、中标人的“投标文件”及其澄清文件等，均为签订经济合同的依据。</w:t>
      </w:r>
    </w:p>
    <w:p>
      <w:pPr>
        <w:pStyle w:val="99"/>
        <w:numPr>
          <w:ilvl w:val="0"/>
          <w:numId w:val="47"/>
        </w:numPr>
        <w:spacing w:line="360" w:lineRule="auto"/>
        <w:ind w:left="567" w:hanging="567" w:firstLineChars="0"/>
        <w:rPr>
          <w:rFonts w:ascii="宋体" w:eastAsia="宋体"/>
          <w:color w:val="auto"/>
          <w:sz w:val="22"/>
          <w:szCs w:val="22"/>
          <w:highlight w:val="none"/>
        </w:rPr>
      </w:pPr>
      <w:r>
        <w:rPr>
          <w:rFonts w:hint="eastAsia" w:ascii="宋体" w:eastAsia="宋体"/>
          <w:color w:val="auto"/>
          <w:sz w:val="22"/>
          <w:szCs w:val="22"/>
          <w:highlight w:val="none"/>
        </w:rPr>
        <w:t>中标人如不按本投标须知第</w:t>
      </w:r>
      <w:r>
        <w:rPr>
          <w:rFonts w:ascii="宋体" w:eastAsia="宋体"/>
          <w:color w:val="auto"/>
          <w:sz w:val="22"/>
          <w:szCs w:val="22"/>
          <w:highlight w:val="none"/>
        </w:rPr>
        <w:t>32.1款</w:t>
      </w:r>
      <w:r>
        <w:rPr>
          <w:rFonts w:hint="eastAsia" w:ascii="宋体" w:eastAsia="宋体"/>
          <w:color w:val="auto"/>
          <w:sz w:val="22"/>
          <w:szCs w:val="22"/>
          <w:highlight w:val="none"/>
        </w:rPr>
        <w:t>的规定与招标人订立合同，则招标人将废除授标，履约担保不予退还，给招标人造成的损失超过履约担保数额的，还应当对超过部分予以赔偿，同时依法承担相应法律责任</w:t>
      </w:r>
      <w:r>
        <w:rPr>
          <w:rFonts w:ascii="宋体" w:eastAsia="宋体"/>
          <w:color w:val="auto"/>
          <w:sz w:val="22"/>
          <w:szCs w:val="22"/>
          <w:highlight w:val="none"/>
        </w:rPr>
        <w:t>。</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50" w:name="_Toc427232339"/>
      <w:bookmarkStart w:id="151" w:name="_Toc61529851"/>
      <w:bookmarkStart w:id="152" w:name="_Toc441844095"/>
      <w:r>
        <w:rPr>
          <w:rFonts w:ascii="宋体" w:hAnsi="宋体"/>
          <w:b/>
          <w:bCs/>
          <w:color w:val="auto"/>
          <w:sz w:val="22"/>
          <w:szCs w:val="22"/>
          <w:highlight w:val="none"/>
        </w:rPr>
        <w:t>其他</w:t>
      </w:r>
      <w:bookmarkEnd w:id="150"/>
      <w:bookmarkEnd w:id="151"/>
      <w:bookmarkEnd w:id="152"/>
    </w:p>
    <w:p>
      <w:pPr>
        <w:pStyle w:val="99"/>
        <w:numPr>
          <w:ilvl w:val="0"/>
          <w:numId w:val="48"/>
        </w:numPr>
        <w:spacing w:line="360" w:lineRule="auto"/>
        <w:ind w:left="567" w:hanging="567" w:firstLineChars="0"/>
        <w:rPr>
          <w:rFonts w:ascii="宋体" w:hAnsi="宋体" w:eastAsia="宋体"/>
          <w:color w:val="auto"/>
          <w:kern w:val="0"/>
          <w:sz w:val="22"/>
          <w:szCs w:val="22"/>
          <w:highlight w:val="none"/>
          <w:lang w:val="zh-CN"/>
        </w:rPr>
      </w:pPr>
      <w:r>
        <w:rPr>
          <w:rFonts w:ascii="宋体" w:hAnsi="宋体" w:eastAsia="宋体"/>
          <w:color w:val="auto"/>
          <w:kern w:val="0"/>
          <w:sz w:val="22"/>
          <w:szCs w:val="22"/>
          <w:highlight w:val="none"/>
          <w:lang w:val="zh-CN"/>
        </w:rPr>
        <w:t>如投标人提供虚假材料谋取中标的，或者采取不正当手段诋毁、排挤其他投标人的，以及与其他的投标人恶意串通的，我公司将严肃处理，并保留追究其责任的权利。</w:t>
      </w:r>
    </w:p>
    <w:p>
      <w:pPr>
        <w:pStyle w:val="294"/>
        <w:numPr>
          <w:ilvl w:val="0"/>
          <w:numId w:val="4"/>
        </w:numPr>
        <w:spacing w:line="360" w:lineRule="auto"/>
        <w:ind w:left="0" w:firstLine="0" w:firstLineChars="0"/>
        <w:outlineLvl w:val="2"/>
        <w:rPr>
          <w:rFonts w:ascii="宋体" w:hAnsi="宋体"/>
          <w:b/>
          <w:bCs/>
          <w:color w:val="auto"/>
          <w:sz w:val="22"/>
          <w:szCs w:val="22"/>
          <w:highlight w:val="none"/>
        </w:rPr>
      </w:pPr>
      <w:bookmarkStart w:id="153" w:name="_Toc61529852"/>
      <w:bookmarkStart w:id="154" w:name="_Toc441844096"/>
      <w:bookmarkStart w:id="155" w:name="_Toc427232340"/>
      <w:r>
        <w:rPr>
          <w:rFonts w:ascii="宋体" w:hAnsi="宋体"/>
          <w:b/>
          <w:bCs/>
          <w:color w:val="auto"/>
          <w:sz w:val="22"/>
          <w:szCs w:val="22"/>
          <w:highlight w:val="none"/>
        </w:rPr>
        <w:t>招标文件的解释权</w:t>
      </w:r>
      <w:bookmarkEnd w:id="153"/>
      <w:bookmarkEnd w:id="154"/>
      <w:bookmarkEnd w:id="155"/>
    </w:p>
    <w:p>
      <w:pPr>
        <w:pStyle w:val="99"/>
        <w:spacing w:line="360" w:lineRule="auto"/>
        <w:ind w:firstLine="0" w:firstLineChars="0"/>
        <w:rPr>
          <w:rFonts w:ascii="宋体" w:hAnsi="宋体" w:eastAsia="宋体"/>
          <w:color w:val="auto"/>
          <w:kern w:val="0"/>
          <w:sz w:val="22"/>
          <w:szCs w:val="22"/>
          <w:highlight w:val="none"/>
          <w:lang w:val="zh-CN"/>
        </w:rPr>
      </w:pPr>
      <w:r>
        <w:rPr>
          <w:rFonts w:ascii="宋体" w:hAnsi="宋体" w:eastAsia="宋体"/>
          <w:color w:val="auto"/>
          <w:kern w:val="0"/>
          <w:sz w:val="22"/>
          <w:szCs w:val="22"/>
          <w:highlight w:val="none"/>
          <w:lang w:val="zh-CN"/>
        </w:rPr>
        <w:t>38.1</w:t>
      </w:r>
      <w:r>
        <w:rPr>
          <w:rFonts w:hint="eastAsia" w:ascii="宋体" w:hAnsi="宋体" w:eastAsia="宋体"/>
          <w:color w:val="auto"/>
          <w:kern w:val="0"/>
          <w:sz w:val="22"/>
          <w:szCs w:val="22"/>
          <w:highlight w:val="none"/>
          <w:lang w:val="zh-CN"/>
        </w:rPr>
        <w:t>本招标文件的解释权属招标人和招标代理机构。</w:t>
      </w:r>
    </w:p>
    <w:p>
      <w:pPr>
        <w:widowControl/>
        <w:jc w:val="left"/>
        <w:rPr>
          <w:rFonts w:ascii="宋体" w:hAnsi="宋体" w:eastAsia="宋体"/>
          <w:color w:val="auto"/>
          <w:kern w:val="0"/>
          <w:szCs w:val="21"/>
          <w:highlight w:val="none"/>
          <w:lang w:val="zh-CN"/>
        </w:rPr>
      </w:pPr>
      <w:r>
        <w:rPr>
          <w:rFonts w:ascii="宋体" w:hAnsi="宋体" w:eastAsia="宋体"/>
          <w:color w:val="auto"/>
          <w:kern w:val="0"/>
          <w:szCs w:val="21"/>
          <w:highlight w:val="none"/>
          <w:lang w:val="zh-CN"/>
        </w:rPr>
        <w:br w:type="page"/>
      </w:r>
    </w:p>
    <w:p>
      <w:pPr>
        <w:pStyle w:val="4"/>
        <w:spacing w:line="360" w:lineRule="auto"/>
        <w:ind w:left="0" w:firstLine="0"/>
        <w:jc w:val="left"/>
        <w:rPr>
          <w:rFonts w:ascii="Times New Roman" w:hAnsi="Times New Roman" w:eastAsia="宋体"/>
          <w:bCs/>
          <w:color w:val="auto"/>
          <w:kern w:val="44"/>
          <w:highlight w:val="none"/>
          <w:lang w:val="zh-CN"/>
        </w:rPr>
      </w:pPr>
      <w:bookmarkStart w:id="156" w:name="_Toc5131387"/>
      <w:bookmarkStart w:id="157" w:name="_Toc61529853"/>
      <w:r>
        <w:rPr>
          <w:rFonts w:hint="eastAsia" w:ascii="Times New Roman" w:hAnsi="Times New Roman" w:eastAsia="宋体"/>
          <w:bCs/>
          <w:color w:val="auto"/>
          <w:kern w:val="44"/>
          <w:highlight w:val="none"/>
          <w:lang w:val="zh-CN"/>
        </w:rPr>
        <w:t>附件一 投标担保函格式</w:t>
      </w:r>
      <w:bookmarkEnd w:id="156"/>
      <w:bookmarkEnd w:id="157"/>
    </w:p>
    <w:p>
      <w:pPr>
        <w:spacing w:before="312" w:beforeLines="100" w:after="312" w:afterLines="100" w:line="360" w:lineRule="auto"/>
        <w:jc w:val="center"/>
        <w:rPr>
          <w:rFonts w:ascii="宋体" w:hAnsi="宋体"/>
          <w:b/>
          <w:color w:val="auto"/>
          <w:spacing w:val="20"/>
          <w:sz w:val="22"/>
          <w:szCs w:val="22"/>
          <w:highlight w:val="none"/>
        </w:rPr>
      </w:pPr>
      <w:r>
        <w:rPr>
          <w:rFonts w:hint="eastAsia" w:ascii="宋体" w:hAnsi="宋体"/>
          <w:b/>
          <w:color w:val="auto"/>
          <w:spacing w:val="20"/>
          <w:sz w:val="22"/>
          <w:szCs w:val="22"/>
          <w:highlight w:val="none"/>
        </w:rPr>
        <w:t>投标担保函</w:t>
      </w:r>
    </w:p>
    <w:p>
      <w:pPr>
        <w:spacing w:line="360" w:lineRule="auto"/>
        <w:ind w:firstLine="6560" w:firstLineChars="2970"/>
        <w:rPr>
          <w:rFonts w:ascii="宋体" w:hAnsi="宋体"/>
          <w:b/>
          <w:color w:val="auto"/>
          <w:sz w:val="22"/>
          <w:szCs w:val="22"/>
          <w:highlight w:val="none"/>
        </w:rPr>
      </w:pPr>
      <w:r>
        <w:rPr>
          <w:rFonts w:hint="eastAsia" w:ascii="宋体" w:hAnsi="宋体"/>
          <w:b/>
          <w:color w:val="auto"/>
          <w:sz w:val="22"/>
          <w:szCs w:val="22"/>
          <w:highlight w:val="none"/>
        </w:rPr>
        <w:t>编号：</w:t>
      </w:r>
    </w:p>
    <w:p>
      <w:pPr>
        <w:spacing w:line="360" w:lineRule="auto"/>
        <w:rPr>
          <w:rFonts w:ascii="宋体" w:hAnsi="宋体"/>
          <w:color w:val="auto"/>
          <w:sz w:val="22"/>
          <w:szCs w:val="22"/>
          <w:highlight w:val="none"/>
          <w:u w:val="single"/>
        </w:rPr>
      </w:pP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(招标人或招标代理机构)：</w:t>
      </w:r>
    </w:p>
    <w:p>
      <w:pPr>
        <w:spacing w:line="360" w:lineRule="auto"/>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鉴于</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(以下筒称“投标人”)拟参加编号为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的</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一、保证责任的情形及保证金额</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(一)在投标人出现下列情形之一时,，我方承担保证责任：</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1.中标后投标人无正当理由不与招标人或者招标代理机构签订《合同》；</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2.招标文件规定的投标人应当缴纳保证金的其他情形。</w:t>
      </w:r>
    </w:p>
    <w:p>
      <w:pPr>
        <w:tabs>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(二)我方承担保证责任的最高金额为人民币</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元(大写：</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 )；即本项目的投标保证金金额。</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二、保证的方式及保证期间</w:t>
      </w:r>
    </w:p>
    <w:p>
      <w:pPr>
        <w:tabs>
          <w:tab w:val="left" w:pos="142"/>
          <w:tab w:val="left" w:pos="284"/>
        </w:tabs>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我方保证的方式为：连带责任保证。</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我方的保证期间为：自本保函生效之日起</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个月止。</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三、承担保证责任的程序</w:t>
      </w:r>
    </w:p>
    <w:p>
      <w:pPr>
        <w:spacing w:line="360" w:lineRule="auto"/>
        <w:ind w:left="281" w:leftChars="134"/>
        <w:rPr>
          <w:rFonts w:ascii="宋体" w:hAnsi="宋体"/>
          <w:color w:val="auto"/>
          <w:sz w:val="22"/>
          <w:szCs w:val="22"/>
          <w:highlight w:val="none"/>
        </w:rPr>
      </w:pPr>
      <w:r>
        <w:rPr>
          <w:rFonts w:hint="eastAsia" w:ascii="宋体" w:hAnsi="宋体"/>
          <w:color w:val="auto"/>
          <w:sz w:val="22"/>
          <w:szCs w:val="22"/>
          <w:highlight w:val="none"/>
        </w:rPr>
        <w:t>1.你方要求我方承担保证责任的，应在本保函保证期间内向我方发出书面索赔通知,索赔通知应写明要求索赔的金额，支付款项应到达的账号。并附有证明投标入发生我方应承担保证责任情形的事实材料。</w:t>
      </w:r>
    </w:p>
    <w:p>
      <w:pPr>
        <w:spacing w:line="360" w:lineRule="auto"/>
        <w:ind w:left="281" w:leftChars="134"/>
        <w:rPr>
          <w:rFonts w:ascii="宋体" w:hAnsi="宋体"/>
          <w:color w:val="auto"/>
          <w:sz w:val="22"/>
          <w:szCs w:val="22"/>
          <w:highlight w:val="none"/>
        </w:rPr>
      </w:pPr>
      <w:r>
        <w:rPr>
          <w:rFonts w:hint="eastAsia" w:ascii="宋体" w:hAnsi="宋体"/>
          <w:color w:val="auto"/>
          <w:sz w:val="22"/>
          <w:szCs w:val="22"/>
          <w:highlight w:val="none"/>
        </w:rPr>
        <w:t>2.我方在收到索赔通知及相关证明材料后，在</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个工作日内进行审查，符合应承担保证责任情形的，我方应按照你方的要求代投标人向你方支付投标保证金。</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四、保证责任的终止</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1.保证期间届满你方未向我方书面主张保证责任的，自保证期间届满次日起，我方保证责任自动终止。</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2.我方按照本保函向你贵方履行了保证责任后，自我方向你贵方支付款项(支付款项从我方账户划出)之日起,保证责任终止。</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3.按照法律法规的规定或出现我方保证责任终止的其它情形的，我方在本保函项下的保证责任亦终止。</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五、免责条款</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1.依照法律规定或你方与投标人的另行约定，全部或者部分免除投标人投标保证金义务时，我方亦免除相应的保证责任。</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2.因你方原因致使投标入发生本保函第一条第（一）款约定情形的，我方不承担保证责任。</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3.因不可抗力造成投断人发生本保函第一条约定情形的，我方不承担保证责任。</w:t>
      </w:r>
    </w:p>
    <w:p>
      <w:pPr>
        <w:spacing w:line="360" w:lineRule="auto"/>
        <w:ind w:left="283" w:leftChars="135"/>
        <w:rPr>
          <w:rFonts w:ascii="宋体" w:hAnsi="宋体"/>
          <w:color w:val="auto"/>
          <w:sz w:val="22"/>
          <w:szCs w:val="22"/>
          <w:highlight w:val="none"/>
        </w:rPr>
      </w:pPr>
      <w:r>
        <w:rPr>
          <w:rFonts w:hint="eastAsia" w:ascii="宋体" w:hAnsi="宋体"/>
          <w:color w:val="auto"/>
          <w:sz w:val="22"/>
          <w:szCs w:val="22"/>
          <w:highlight w:val="none"/>
        </w:rPr>
        <w:t>4.你方或其他有权机关对招标文件进行任何澄清或修改，加重我方保证责任的，我方对加重部分不承担保证责任，但该澄清或修改经我方事先书面同意的除外。</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六、争议的解决</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因本保函发生的纠纷，由你我双方协商解决，协商不成的，通过诉讼程序解决,诉讼管辖地法院为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法院。</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七、保函的生效</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本保函自我方加盖公章之日起生效。</w:t>
      </w:r>
    </w:p>
    <w:p>
      <w:pPr>
        <w:spacing w:before="936" w:beforeLines="300" w:line="360" w:lineRule="auto"/>
        <w:jc w:val="right"/>
        <w:rPr>
          <w:rFonts w:ascii="宋体" w:hAnsi="宋体"/>
          <w:color w:val="auto"/>
          <w:sz w:val="22"/>
          <w:szCs w:val="22"/>
          <w:highlight w:val="none"/>
        </w:rPr>
      </w:pPr>
      <w:r>
        <w:rPr>
          <w:rFonts w:hint="eastAsia" w:ascii="宋体" w:hAnsi="宋体"/>
          <w:color w:val="auto"/>
          <w:sz w:val="22"/>
          <w:szCs w:val="22"/>
          <w:highlight w:val="none"/>
        </w:rPr>
        <w:t>保证人：(公章)</w:t>
      </w:r>
    </w:p>
    <w:p>
      <w:pP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年   月   日</w:t>
      </w:r>
    </w:p>
    <w:p>
      <w:pPr>
        <w:pStyle w:val="99"/>
        <w:spacing w:line="360" w:lineRule="auto"/>
        <w:ind w:firstLine="0" w:firstLineChars="0"/>
        <w:rPr>
          <w:rFonts w:ascii="宋体" w:hAnsi="宋体" w:eastAsia="宋体"/>
          <w:color w:val="auto"/>
          <w:kern w:val="0"/>
          <w:sz w:val="21"/>
          <w:szCs w:val="21"/>
          <w:highlight w:val="none"/>
          <w:lang w:val="zh-CN"/>
        </w:rPr>
      </w:pPr>
    </w:p>
    <w:p>
      <w:pPr>
        <w:widowControl/>
        <w:spacing w:line="360" w:lineRule="auto"/>
        <w:jc w:val="left"/>
        <w:rPr>
          <w:rFonts w:ascii="宋体" w:hAnsi="宋体"/>
          <w:color w:val="auto"/>
          <w:sz w:val="22"/>
          <w:szCs w:val="22"/>
          <w:highlight w:val="none"/>
        </w:rPr>
      </w:pPr>
      <w:r>
        <w:rPr>
          <w:rFonts w:ascii="宋体" w:hAnsi="宋体"/>
          <w:color w:val="auto"/>
          <w:sz w:val="22"/>
          <w:szCs w:val="22"/>
          <w:highlight w:val="none"/>
        </w:rPr>
        <w:br w:type="page"/>
      </w:r>
    </w:p>
    <w:p>
      <w:pPr>
        <w:pStyle w:val="4"/>
        <w:spacing w:line="360" w:lineRule="auto"/>
        <w:ind w:left="0" w:firstLine="0"/>
        <w:jc w:val="left"/>
        <w:rPr>
          <w:rFonts w:ascii="宋体" w:hAnsi="宋体" w:eastAsia="宋体"/>
          <w:bCs/>
          <w:color w:val="auto"/>
          <w:kern w:val="44"/>
          <w:highlight w:val="none"/>
          <w:lang w:val="zh-CN"/>
        </w:rPr>
      </w:pPr>
      <w:bookmarkStart w:id="158" w:name="_Toc61529854"/>
      <w:r>
        <w:rPr>
          <w:rFonts w:hint="eastAsia" w:ascii="宋体" w:hAnsi="宋体" w:eastAsia="宋体"/>
          <w:bCs/>
          <w:color w:val="auto"/>
          <w:kern w:val="44"/>
          <w:highlight w:val="none"/>
          <w:lang w:val="zh-CN"/>
        </w:rPr>
        <w:t>附件二</w:t>
      </w:r>
      <w:r>
        <w:rPr>
          <w:rFonts w:ascii="宋体" w:hAnsi="宋体" w:eastAsia="宋体"/>
          <w:bCs/>
          <w:color w:val="auto"/>
          <w:kern w:val="44"/>
          <w:highlight w:val="none"/>
          <w:lang w:val="zh-CN"/>
        </w:rPr>
        <w:t xml:space="preserve"> </w:t>
      </w:r>
      <w:r>
        <w:rPr>
          <w:rFonts w:hint="eastAsia" w:ascii="宋体" w:hAnsi="宋体" w:eastAsia="宋体"/>
          <w:bCs/>
          <w:color w:val="auto"/>
          <w:kern w:val="44"/>
          <w:highlight w:val="none"/>
          <w:lang w:val="zh-CN"/>
        </w:rPr>
        <w:t>不可撤销银行履约保函格式</w:t>
      </w:r>
      <w:bookmarkEnd w:id="158"/>
    </w:p>
    <w:p>
      <w:pPr>
        <w:spacing w:before="100" w:beforeAutospacing="1" w:after="100" w:afterAutospacing="1" w:line="360" w:lineRule="auto"/>
        <w:jc w:val="center"/>
        <w:rPr>
          <w:rFonts w:hAnsi="宋体"/>
          <w:b/>
          <w:bCs/>
          <w:color w:val="auto"/>
          <w:sz w:val="22"/>
          <w:szCs w:val="22"/>
          <w:highlight w:val="none"/>
        </w:rPr>
      </w:pPr>
      <w:r>
        <w:rPr>
          <w:rFonts w:hAnsi="宋体"/>
          <w:b/>
          <w:bCs/>
          <w:color w:val="auto"/>
          <w:sz w:val="22"/>
          <w:szCs w:val="22"/>
          <w:highlight w:val="none"/>
        </w:rPr>
        <w:t>不可撤销</w:t>
      </w:r>
      <w:r>
        <w:rPr>
          <w:rFonts w:hint="eastAsia" w:hAnsi="宋体"/>
          <w:b/>
          <w:bCs/>
          <w:color w:val="auto"/>
          <w:sz w:val="22"/>
          <w:szCs w:val="22"/>
          <w:highlight w:val="none"/>
        </w:rPr>
        <w:t>银行</w:t>
      </w:r>
      <w:r>
        <w:rPr>
          <w:rFonts w:hAnsi="宋体"/>
          <w:b/>
          <w:bCs/>
          <w:color w:val="auto"/>
          <w:sz w:val="22"/>
          <w:szCs w:val="22"/>
          <w:highlight w:val="none"/>
        </w:rPr>
        <w:t>履约保函</w:t>
      </w:r>
    </w:p>
    <w:p>
      <w:pPr>
        <w:spacing w:line="360" w:lineRule="auto"/>
        <w:ind w:firstLine="6300"/>
        <w:rPr>
          <w:rFonts w:hAnsi="宋体"/>
          <w:color w:val="auto"/>
          <w:sz w:val="22"/>
          <w:szCs w:val="22"/>
          <w:highlight w:val="none"/>
          <w:u w:val="single"/>
        </w:rPr>
      </w:pPr>
      <w:r>
        <w:rPr>
          <w:rFonts w:hAnsi="宋体"/>
          <w:color w:val="auto"/>
          <w:sz w:val="22"/>
          <w:szCs w:val="22"/>
          <w:highlight w:val="none"/>
        </w:rPr>
        <w:t>银行编号：</w:t>
      </w:r>
    </w:p>
    <w:p>
      <w:pPr>
        <w:widowControl/>
        <w:spacing w:line="360" w:lineRule="auto"/>
        <w:rPr>
          <w:rFonts w:hAnsi="宋体" w:cs="宋体"/>
          <w:color w:val="auto"/>
          <w:sz w:val="22"/>
          <w:szCs w:val="22"/>
          <w:highlight w:val="none"/>
        </w:rPr>
      </w:pPr>
      <w:r>
        <w:rPr>
          <w:rFonts w:hint="eastAsia" w:hAnsi="宋体" w:cs="宋体"/>
          <w:color w:val="auto"/>
          <w:sz w:val="22"/>
          <w:szCs w:val="22"/>
          <w:highlight w:val="none"/>
        </w:rPr>
        <w:t>致：</w:t>
      </w:r>
      <w:r>
        <w:rPr>
          <w:rFonts w:hAnsi="宋体" w:cs="宋体"/>
          <w:b/>
          <w:color w:val="auto"/>
          <w:sz w:val="22"/>
          <w:szCs w:val="22"/>
          <w:highlight w:val="none"/>
          <w:u w:val="single"/>
        </w:rPr>
        <w:t xml:space="preserve">                    </w:t>
      </w:r>
      <w:r>
        <w:rPr>
          <w:rFonts w:hint="eastAsia" w:hAnsi="宋体" w:cs="宋体"/>
          <w:color w:val="auto"/>
          <w:sz w:val="22"/>
          <w:szCs w:val="22"/>
          <w:highlight w:val="none"/>
        </w:rPr>
        <w:t>（下称“受益人”）</w:t>
      </w:r>
    </w:p>
    <w:p>
      <w:pPr>
        <w:widowControl/>
        <w:spacing w:line="360" w:lineRule="auto"/>
        <w:ind w:firstLine="594" w:firstLineChars="270"/>
        <w:rPr>
          <w:rFonts w:hAnsi="宋体" w:cs="宋体"/>
          <w:color w:val="auto"/>
          <w:sz w:val="22"/>
          <w:szCs w:val="22"/>
          <w:highlight w:val="none"/>
        </w:rPr>
      </w:pPr>
      <w:r>
        <w:rPr>
          <w:rFonts w:hint="eastAsia" w:hAnsi="宋体" w:cs="宋体"/>
          <w:color w:val="auto"/>
          <w:sz w:val="22"/>
          <w:szCs w:val="22"/>
          <w:highlight w:val="none"/>
        </w:rPr>
        <w:t>鉴于</w:t>
      </w:r>
      <w:r>
        <w:rPr>
          <w:rFonts w:hAnsi="宋体" w:cs="宋体"/>
          <w:color w:val="auto"/>
          <w:sz w:val="22"/>
          <w:szCs w:val="22"/>
          <w:highlight w:val="none"/>
          <w:u w:val="single"/>
        </w:rPr>
        <w:t xml:space="preserve">  （</w:t>
      </w:r>
      <w:r>
        <w:rPr>
          <w:rFonts w:hint="eastAsia" w:hAnsi="宋体" w:cs="宋体"/>
          <w:color w:val="auto"/>
          <w:sz w:val="22"/>
          <w:szCs w:val="22"/>
          <w:highlight w:val="none"/>
          <w:u w:val="single"/>
        </w:rPr>
        <w:t>申请人</w:t>
      </w:r>
      <w:r>
        <w:rPr>
          <w:rFonts w:hAnsi="宋体" w:cs="宋体"/>
          <w:color w:val="auto"/>
          <w:sz w:val="22"/>
          <w:szCs w:val="22"/>
          <w:highlight w:val="none"/>
          <w:u w:val="single"/>
        </w:rPr>
        <w:t xml:space="preserve">的名称与地址）  </w:t>
      </w:r>
      <w:r>
        <w:rPr>
          <w:rFonts w:hint="eastAsia" w:hAnsi="宋体" w:cs="宋体"/>
          <w:color w:val="auto"/>
          <w:sz w:val="22"/>
          <w:szCs w:val="22"/>
          <w:highlight w:val="none"/>
        </w:rPr>
        <w:t>（下称“申请人”），就拟签订的</w:t>
      </w:r>
      <w:r>
        <w:rPr>
          <w:rFonts w:hAnsi="宋体" w:cs="宋体"/>
          <w:color w:val="auto"/>
          <w:sz w:val="22"/>
          <w:szCs w:val="22"/>
          <w:highlight w:val="none"/>
          <w:u w:val="single"/>
        </w:rPr>
        <w:t xml:space="preserve"> 项目名称       （</w:t>
      </w:r>
      <w:r>
        <w:rPr>
          <w:rFonts w:hint="eastAsia" w:hAnsi="宋体" w:cs="宋体"/>
          <w:color w:val="auto"/>
          <w:sz w:val="22"/>
          <w:szCs w:val="22"/>
          <w:highlight w:val="none"/>
          <w:u w:val="single"/>
        </w:rPr>
        <w:t>项目</w:t>
      </w:r>
      <w:r>
        <w:rPr>
          <w:rFonts w:hAnsi="宋体" w:cs="宋体"/>
          <w:color w:val="auto"/>
          <w:sz w:val="22"/>
          <w:szCs w:val="22"/>
          <w:highlight w:val="none"/>
          <w:u w:val="single"/>
        </w:rPr>
        <w:t xml:space="preserve">编号：         </w:t>
      </w:r>
      <w:r>
        <w:rPr>
          <w:rFonts w:hint="eastAsia" w:hAnsi="宋体" w:cs="宋体"/>
          <w:color w:val="auto"/>
          <w:sz w:val="22"/>
          <w:szCs w:val="22"/>
          <w:highlight w:val="none"/>
          <w:u w:val="single"/>
        </w:rPr>
        <w:t xml:space="preserve">包号 </w:t>
      </w:r>
      <w:r>
        <w:rPr>
          <w:rFonts w:hAnsi="宋体" w:cs="宋体"/>
          <w:color w:val="auto"/>
          <w:sz w:val="22"/>
          <w:szCs w:val="22"/>
          <w:highlight w:val="none"/>
          <w:u w:val="single"/>
        </w:rPr>
        <w:t xml:space="preserve"> ）</w:t>
      </w:r>
      <w:r>
        <w:rPr>
          <w:rFonts w:hint="eastAsia" w:hAnsi="宋体" w:cs="宋体"/>
          <w:color w:val="auto"/>
          <w:sz w:val="22"/>
          <w:szCs w:val="22"/>
          <w:highlight w:val="none"/>
        </w:rPr>
        <w:t>合同（招标文件）中规定履行义务。</w:t>
      </w:r>
    </w:p>
    <w:p>
      <w:pPr>
        <w:widowControl/>
        <w:spacing w:line="360" w:lineRule="auto"/>
        <w:ind w:firstLine="594" w:firstLineChars="270"/>
        <w:rPr>
          <w:rFonts w:hAnsi="宋体" w:cs="宋体"/>
          <w:color w:val="auto"/>
          <w:sz w:val="22"/>
          <w:szCs w:val="22"/>
          <w:highlight w:val="none"/>
        </w:rPr>
      </w:pPr>
      <w:r>
        <w:rPr>
          <w:rFonts w:hint="eastAsia" w:hAnsi="宋体" w:cs="宋体"/>
          <w:color w:val="auto"/>
          <w:sz w:val="22"/>
          <w:szCs w:val="22"/>
          <w:highlight w:val="none"/>
        </w:rPr>
        <w:t>根据上述合同（招标文件）规定，申请人应向受益人提供一份金额为人民币（大写）</w:t>
      </w:r>
      <w:r>
        <w:rPr>
          <w:rFonts w:hAnsi="宋体" w:cs="宋体"/>
          <w:color w:val="auto"/>
          <w:sz w:val="22"/>
          <w:szCs w:val="22"/>
          <w:highlight w:val="none"/>
          <w:u w:val="single"/>
        </w:rPr>
        <w:t xml:space="preserve">      （</w:t>
      </w:r>
      <w:r>
        <w:rPr>
          <w:rFonts w:hint="eastAsia" w:hAnsi="宋体" w:cs="宋体"/>
          <w:color w:val="auto"/>
          <w:sz w:val="22"/>
          <w:szCs w:val="22"/>
          <w:highlight w:val="none"/>
          <w:u w:val="single"/>
        </w:rPr>
        <w:t>¥</w:t>
      </w:r>
      <w:r>
        <w:rPr>
          <w:rFonts w:hAnsi="宋体" w:cs="宋体"/>
          <w:color w:val="auto"/>
          <w:sz w:val="22"/>
          <w:szCs w:val="22"/>
          <w:highlight w:val="none"/>
          <w:u w:val="single"/>
        </w:rPr>
        <w:t xml:space="preserve">      元）</w:t>
      </w:r>
      <w:r>
        <w:rPr>
          <w:rFonts w:hint="eastAsia" w:hAnsi="宋体" w:cs="宋体"/>
          <w:color w:val="auto"/>
          <w:sz w:val="22"/>
          <w:szCs w:val="22"/>
          <w:highlight w:val="none"/>
        </w:rPr>
        <w:t>的无条件、不可撤销银行履约保函，作为申请人履行上述合同的担保。</w:t>
      </w:r>
    </w:p>
    <w:p>
      <w:pPr>
        <w:widowControl/>
        <w:spacing w:line="360" w:lineRule="auto"/>
        <w:ind w:firstLine="594" w:firstLineChars="270"/>
        <w:rPr>
          <w:rFonts w:hAnsi="宋体" w:cs="宋体"/>
          <w:color w:val="auto"/>
          <w:sz w:val="22"/>
          <w:szCs w:val="22"/>
          <w:highlight w:val="none"/>
        </w:rPr>
      </w:pPr>
      <w:r>
        <w:rPr>
          <w:rFonts w:hint="eastAsia" w:hAnsi="宋体" w:cs="宋体"/>
          <w:color w:val="auto"/>
          <w:sz w:val="22"/>
          <w:szCs w:val="22"/>
          <w:highlight w:val="none"/>
        </w:rPr>
        <w:t>我方</w:t>
      </w:r>
      <w:r>
        <w:rPr>
          <w:rFonts w:hAnsi="宋体" w:cs="宋体"/>
          <w:color w:val="auto"/>
          <w:sz w:val="22"/>
          <w:szCs w:val="22"/>
          <w:highlight w:val="none"/>
          <w:u w:val="single"/>
        </w:rPr>
        <w:t xml:space="preserve">     （银行名称）</w:t>
      </w:r>
      <w:r>
        <w:rPr>
          <w:rFonts w:hint="eastAsia" w:hAnsi="宋体" w:cs="宋体"/>
          <w:color w:val="auto"/>
          <w:sz w:val="22"/>
          <w:szCs w:val="22"/>
          <w:highlight w:val="none"/>
        </w:rPr>
        <w:t>，受申请人的委托，无条件和不可撤销地在受益人出具本保函原件且提出因申请人没有履行上述合同规定，而要求承担保证责任后，在保函限额内向受益人支付不超过人民币（大写）_________（¥_______元）的款项。在向我行提出要求前，我行将不坚持要求受益人首先向申请人提出上述款项的索赔。</w:t>
      </w:r>
    </w:p>
    <w:p>
      <w:pPr>
        <w:widowControl/>
        <w:spacing w:line="360" w:lineRule="auto"/>
        <w:ind w:firstLine="437"/>
        <w:rPr>
          <w:rFonts w:hAnsi="宋体" w:cs="宋体"/>
          <w:color w:val="auto"/>
          <w:sz w:val="22"/>
          <w:szCs w:val="22"/>
          <w:highlight w:val="none"/>
        </w:rPr>
      </w:pPr>
      <w:r>
        <w:rPr>
          <w:rFonts w:hint="eastAsia" w:hAnsi="宋体" w:cs="宋体"/>
          <w:color w:val="auto"/>
          <w:sz w:val="22"/>
          <w:szCs w:val="22"/>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Ansi="宋体" w:cs="宋体"/>
          <w:color w:val="auto"/>
          <w:sz w:val="22"/>
          <w:szCs w:val="22"/>
          <w:highlight w:val="none"/>
        </w:rPr>
      </w:pPr>
      <w:r>
        <w:rPr>
          <w:rFonts w:hint="eastAsia" w:hAnsi="宋体" w:cs="宋体"/>
          <w:color w:val="auto"/>
          <w:sz w:val="22"/>
          <w:szCs w:val="22"/>
          <w:highlight w:val="none"/>
        </w:rPr>
        <w:t>本保函的期限应</w:t>
      </w:r>
      <w:r>
        <w:rPr>
          <w:rFonts w:hint="eastAsia" w:hAnsi="宋体" w:cs="楷体"/>
          <w:color w:val="auto"/>
          <w:sz w:val="22"/>
          <w:szCs w:val="22"/>
          <w:highlight w:val="none"/>
        </w:rPr>
        <w:t>自合同生效之日起至合同期限届满并完成全部合同义务后28日内保持有效。</w:t>
      </w:r>
    </w:p>
    <w:p>
      <w:pPr>
        <w:widowControl/>
        <w:spacing w:line="360" w:lineRule="auto"/>
        <w:ind w:firstLine="2640" w:firstLineChars="1200"/>
        <w:rPr>
          <w:rFonts w:hAnsi="宋体" w:cs="宋体"/>
          <w:color w:val="auto"/>
          <w:sz w:val="22"/>
          <w:szCs w:val="22"/>
          <w:highlight w:val="none"/>
          <w:u w:val="single"/>
        </w:rPr>
      </w:pPr>
      <w:r>
        <w:rPr>
          <w:rFonts w:hint="eastAsia" w:hAnsi="宋体" w:cs="宋体"/>
          <w:color w:val="auto"/>
          <w:sz w:val="22"/>
          <w:szCs w:val="22"/>
          <w:highlight w:val="none"/>
        </w:rPr>
        <w:t>担</w:t>
      </w:r>
      <w:r>
        <w:rPr>
          <w:rFonts w:hAnsi="宋体" w:cs="宋体"/>
          <w:color w:val="auto"/>
          <w:sz w:val="22"/>
          <w:szCs w:val="22"/>
          <w:highlight w:val="none"/>
        </w:rPr>
        <w:t xml:space="preserve"> </w:t>
      </w:r>
      <w:r>
        <w:rPr>
          <w:rFonts w:hint="eastAsia" w:hAnsi="宋体" w:cs="宋体"/>
          <w:color w:val="auto"/>
          <w:sz w:val="22"/>
          <w:szCs w:val="22"/>
          <w:highlight w:val="none"/>
        </w:rPr>
        <w:t>保</w:t>
      </w:r>
      <w:r>
        <w:rPr>
          <w:rFonts w:hAnsi="宋体" w:cs="宋体"/>
          <w:color w:val="auto"/>
          <w:sz w:val="22"/>
          <w:szCs w:val="22"/>
          <w:highlight w:val="none"/>
        </w:rPr>
        <w:t xml:space="preserve"> </w:t>
      </w:r>
      <w:r>
        <w:rPr>
          <w:rFonts w:hint="eastAsia" w:hAnsi="宋体" w:cs="宋体"/>
          <w:color w:val="auto"/>
          <w:sz w:val="22"/>
          <w:szCs w:val="22"/>
          <w:highlight w:val="none"/>
        </w:rPr>
        <w:t>银</w:t>
      </w:r>
      <w:r>
        <w:rPr>
          <w:rFonts w:hAnsi="宋体" w:cs="宋体"/>
          <w:color w:val="auto"/>
          <w:sz w:val="22"/>
          <w:szCs w:val="22"/>
          <w:highlight w:val="none"/>
        </w:rPr>
        <w:t xml:space="preserve"> </w:t>
      </w:r>
      <w:r>
        <w:rPr>
          <w:rFonts w:hint="eastAsia" w:hAnsi="宋体" w:cs="宋体"/>
          <w:color w:val="auto"/>
          <w:sz w:val="22"/>
          <w:szCs w:val="22"/>
          <w:highlight w:val="none"/>
        </w:rPr>
        <w:t>行：</w:t>
      </w:r>
      <w:r>
        <w:rPr>
          <w:rFonts w:hAnsi="宋体" w:cs="宋体"/>
          <w:color w:val="auto"/>
          <w:sz w:val="22"/>
          <w:szCs w:val="22"/>
          <w:highlight w:val="none"/>
          <w:u w:val="single"/>
        </w:rPr>
        <w:t xml:space="preserve">          银行全称          (盖章)   </w:t>
      </w:r>
    </w:p>
    <w:p>
      <w:pPr>
        <w:widowControl/>
        <w:spacing w:line="360" w:lineRule="auto"/>
        <w:ind w:firstLine="2640" w:firstLineChars="1200"/>
        <w:rPr>
          <w:rFonts w:hAnsi="宋体" w:cs="宋体"/>
          <w:color w:val="auto"/>
          <w:sz w:val="22"/>
          <w:szCs w:val="22"/>
          <w:highlight w:val="none"/>
        </w:rPr>
      </w:pPr>
      <w:r>
        <w:rPr>
          <w:rFonts w:hint="eastAsia" w:hAnsi="宋体" w:cs="宋体"/>
          <w:color w:val="auto"/>
          <w:sz w:val="22"/>
          <w:szCs w:val="22"/>
          <w:highlight w:val="none"/>
        </w:rPr>
        <w:t>法定代表人或其授权的代表人：</w:t>
      </w:r>
      <w:r>
        <w:rPr>
          <w:rFonts w:hAnsi="宋体" w:cs="宋体"/>
          <w:color w:val="auto"/>
          <w:sz w:val="22"/>
          <w:szCs w:val="22"/>
          <w:highlight w:val="none"/>
          <w:u w:val="single"/>
        </w:rPr>
        <w:t xml:space="preserve">       (职务)         </w:t>
      </w:r>
    </w:p>
    <w:p>
      <w:pPr>
        <w:widowControl/>
        <w:spacing w:line="360" w:lineRule="auto"/>
        <w:ind w:firstLine="5764" w:firstLineChars="2620"/>
        <w:rPr>
          <w:rFonts w:hAnsi="宋体" w:cs="宋体"/>
          <w:color w:val="auto"/>
          <w:sz w:val="22"/>
          <w:szCs w:val="22"/>
          <w:highlight w:val="none"/>
          <w:u w:val="single"/>
        </w:rPr>
      </w:pPr>
      <w:r>
        <w:rPr>
          <w:rFonts w:hAnsi="宋体" w:cs="宋体"/>
          <w:color w:val="auto"/>
          <w:sz w:val="22"/>
          <w:szCs w:val="22"/>
          <w:highlight w:val="none"/>
          <w:u w:val="single"/>
        </w:rPr>
        <w:t xml:space="preserve">       (姓名)         </w:t>
      </w:r>
    </w:p>
    <w:p>
      <w:pPr>
        <w:widowControl/>
        <w:spacing w:line="360" w:lineRule="auto"/>
        <w:ind w:firstLine="5764" w:firstLineChars="2620"/>
        <w:rPr>
          <w:rFonts w:hAnsi="宋体" w:cs="宋体"/>
          <w:color w:val="auto"/>
          <w:sz w:val="22"/>
          <w:szCs w:val="22"/>
          <w:highlight w:val="none"/>
          <w:u w:val="single"/>
        </w:rPr>
      </w:pPr>
      <w:r>
        <w:rPr>
          <w:rFonts w:hAnsi="宋体" w:cs="宋体"/>
          <w:color w:val="auto"/>
          <w:sz w:val="22"/>
          <w:szCs w:val="22"/>
          <w:highlight w:val="none"/>
          <w:u w:val="single"/>
        </w:rPr>
        <w:t xml:space="preserve">       (签章)         </w:t>
      </w:r>
    </w:p>
    <w:p>
      <w:pPr>
        <w:spacing w:line="360" w:lineRule="auto"/>
        <w:ind w:left="840" w:firstLine="440" w:firstLineChars="200"/>
        <w:rPr>
          <w:rFonts w:hAnsi="宋体" w:cs="宋体"/>
          <w:color w:val="auto"/>
          <w:sz w:val="22"/>
          <w:szCs w:val="22"/>
          <w:highlight w:val="none"/>
        </w:rPr>
      </w:pPr>
      <w:r>
        <w:rPr>
          <w:rFonts w:hAnsi="宋体" w:cs="宋体"/>
          <w:color w:val="auto"/>
          <w:sz w:val="22"/>
          <w:szCs w:val="22"/>
          <w:highlight w:val="none"/>
        </w:rPr>
        <w:t xml:space="preserve">                                       </w:t>
      </w:r>
      <w:r>
        <w:rPr>
          <w:rFonts w:hAnsi="宋体" w:cs="宋体"/>
          <w:color w:val="auto"/>
          <w:sz w:val="22"/>
          <w:szCs w:val="22"/>
          <w:highlight w:val="none"/>
          <w:u w:val="single"/>
        </w:rPr>
        <w:t xml:space="preserve">        </w:t>
      </w:r>
      <w:r>
        <w:rPr>
          <w:rFonts w:hint="eastAsia" w:hAnsi="宋体" w:cs="宋体"/>
          <w:color w:val="auto"/>
          <w:sz w:val="22"/>
          <w:szCs w:val="22"/>
          <w:highlight w:val="none"/>
        </w:rPr>
        <w:t>年</w:t>
      </w:r>
      <w:r>
        <w:rPr>
          <w:rFonts w:hAnsi="宋体" w:cs="宋体"/>
          <w:color w:val="auto"/>
          <w:sz w:val="22"/>
          <w:szCs w:val="22"/>
          <w:highlight w:val="none"/>
          <w:u w:val="single"/>
        </w:rPr>
        <w:t xml:space="preserve">     </w:t>
      </w:r>
      <w:r>
        <w:rPr>
          <w:rFonts w:hint="eastAsia" w:hAnsi="宋体" w:cs="宋体"/>
          <w:color w:val="auto"/>
          <w:sz w:val="22"/>
          <w:szCs w:val="22"/>
          <w:highlight w:val="none"/>
        </w:rPr>
        <w:t>月</w:t>
      </w:r>
      <w:r>
        <w:rPr>
          <w:rFonts w:hAnsi="宋体" w:cs="宋体"/>
          <w:color w:val="auto"/>
          <w:sz w:val="22"/>
          <w:szCs w:val="22"/>
          <w:highlight w:val="none"/>
          <w:u w:val="single"/>
        </w:rPr>
        <w:t xml:space="preserve">     </w:t>
      </w:r>
      <w:r>
        <w:rPr>
          <w:rFonts w:hint="eastAsia" w:hAnsi="宋体" w:cs="宋体"/>
          <w:color w:val="auto"/>
          <w:sz w:val="22"/>
          <w:szCs w:val="22"/>
          <w:highlight w:val="none"/>
        </w:rPr>
        <w:t>日</w:t>
      </w:r>
    </w:p>
    <w:p>
      <w:pPr>
        <w:widowControl/>
        <w:jc w:val="left"/>
        <w:rPr>
          <w:rFonts w:ascii="宋体" w:hAnsi="宋体"/>
          <w:color w:val="auto"/>
          <w:sz w:val="22"/>
          <w:szCs w:val="22"/>
          <w:highlight w:val="none"/>
        </w:rPr>
      </w:pPr>
      <w:r>
        <w:rPr>
          <w:rFonts w:ascii="宋体" w:hAnsi="宋体"/>
          <w:color w:val="auto"/>
          <w:sz w:val="22"/>
          <w:szCs w:val="22"/>
          <w:highlight w:val="none"/>
        </w:rPr>
        <w:br w:type="page"/>
      </w:r>
    </w:p>
    <w:p>
      <w:pPr>
        <w:pStyle w:val="4"/>
        <w:spacing w:line="360" w:lineRule="auto"/>
        <w:ind w:left="0" w:firstLine="0"/>
        <w:jc w:val="left"/>
        <w:rPr>
          <w:rFonts w:ascii="宋体" w:hAnsi="宋体" w:eastAsia="宋体"/>
          <w:bCs/>
          <w:color w:val="auto"/>
          <w:kern w:val="44"/>
          <w:highlight w:val="none"/>
          <w:lang w:val="zh-CN"/>
        </w:rPr>
      </w:pPr>
      <w:bookmarkStart w:id="159" w:name="_Toc61529855"/>
      <w:r>
        <w:rPr>
          <w:rFonts w:hint="eastAsia" w:ascii="宋体" w:hAnsi="宋体" w:eastAsia="宋体"/>
          <w:bCs/>
          <w:color w:val="auto"/>
          <w:kern w:val="44"/>
          <w:highlight w:val="none"/>
          <w:lang w:val="zh-CN"/>
        </w:rPr>
        <w:t>附件三</w:t>
      </w:r>
      <w:r>
        <w:rPr>
          <w:rFonts w:ascii="宋体" w:hAnsi="宋体" w:eastAsia="宋体"/>
          <w:bCs/>
          <w:color w:val="auto"/>
          <w:kern w:val="44"/>
          <w:highlight w:val="none"/>
          <w:lang w:val="zh-CN"/>
        </w:rPr>
        <w:t xml:space="preserve"> </w:t>
      </w:r>
      <w:r>
        <w:rPr>
          <w:rFonts w:hint="eastAsia" w:ascii="宋体" w:hAnsi="宋体" w:eastAsia="宋体"/>
          <w:bCs/>
          <w:color w:val="auto"/>
          <w:kern w:val="44"/>
          <w:highlight w:val="none"/>
          <w:lang w:val="zh-CN"/>
        </w:rPr>
        <w:t>公证书格式</w:t>
      </w:r>
      <w:bookmarkEnd w:id="159"/>
    </w:p>
    <w:p>
      <w:pPr>
        <w:pStyle w:val="46"/>
        <w:spacing w:before="0" w:beforeAutospacing="0" w:after="0" w:afterAutospacing="0" w:line="360" w:lineRule="auto"/>
        <w:jc w:val="center"/>
        <w:rPr>
          <w:color w:val="auto"/>
          <w:sz w:val="22"/>
          <w:szCs w:val="22"/>
          <w:highlight w:val="none"/>
        </w:rPr>
      </w:pPr>
      <w:r>
        <w:rPr>
          <w:b/>
          <w:color w:val="auto"/>
          <w:sz w:val="22"/>
          <w:szCs w:val="22"/>
          <w:highlight w:val="none"/>
        </w:rPr>
        <w:t>公证书</w:t>
      </w:r>
    </w:p>
    <w:p>
      <w:pPr>
        <w:pStyle w:val="46"/>
        <w:spacing w:before="0" w:beforeAutospacing="0" w:after="0" w:afterAutospacing="0" w:line="360" w:lineRule="auto"/>
        <w:jc w:val="right"/>
        <w:rPr>
          <w:color w:val="auto"/>
          <w:sz w:val="22"/>
          <w:szCs w:val="22"/>
          <w:highlight w:val="none"/>
        </w:rPr>
      </w:pPr>
      <w:r>
        <w:rPr>
          <w:color w:val="auto"/>
          <w:sz w:val="22"/>
          <w:szCs w:val="22"/>
          <w:highlight w:val="none"/>
        </w:rPr>
        <w:t>（ ）××字第××号</w:t>
      </w:r>
    </w:p>
    <w:p>
      <w:pPr>
        <w:pStyle w:val="46"/>
        <w:spacing w:before="0" w:beforeAutospacing="0" w:after="0" w:afterAutospacing="0" w:line="360" w:lineRule="auto"/>
        <w:ind w:firstLine="455" w:firstLineChars="207"/>
        <w:jc w:val="both"/>
        <w:rPr>
          <w:color w:val="auto"/>
          <w:sz w:val="22"/>
          <w:szCs w:val="22"/>
          <w:highlight w:val="none"/>
        </w:rPr>
      </w:pPr>
      <w:r>
        <w:rPr>
          <w:color w:val="auto"/>
          <w:sz w:val="22"/>
          <w:szCs w:val="22"/>
          <w:highlight w:val="none"/>
        </w:rPr>
        <w:t>兹证明××××（银行或担保公司全称）法定代表人（或法定代表人的代理人）×××于××××年×月×日，在××（签约地点或本公证处），在我的面前，签署了前面的编号为××××的《</w:t>
      </w:r>
      <w:r>
        <w:rPr>
          <w:rFonts w:hint="eastAsia"/>
          <w:color w:val="auto"/>
          <w:sz w:val="22"/>
          <w:szCs w:val="22"/>
          <w:highlight w:val="none"/>
        </w:rPr>
        <w:t>不可撤销银行</w:t>
      </w:r>
      <w:r>
        <w:rPr>
          <w:color w:val="auto"/>
          <w:sz w:val="22"/>
          <w:szCs w:val="22"/>
          <w:highlight w:val="none"/>
        </w:rPr>
        <w:t>履约保函》</w:t>
      </w:r>
      <w:r>
        <w:rPr>
          <w:rFonts w:hint="eastAsia"/>
          <w:color w:val="auto"/>
          <w:sz w:val="22"/>
          <w:szCs w:val="22"/>
          <w:highlight w:val="none"/>
        </w:rPr>
        <w:t>（或担保公司履约担保书）</w:t>
      </w:r>
      <w:r>
        <w:rPr>
          <w:color w:val="auto"/>
          <w:sz w:val="22"/>
          <w:szCs w:val="22"/>
          <w:highlight w:val="none"/>
        </w:rPr>
        <w:t>。</w:t>
      </w:r>
    </w:p>
    <w:p>
      <w:pPr>
        <w:pStyle w:val="46"/>
        <w:spacing w:before="0" w:beforeAutospacing="0" w:after="0" w:afterAutospacing="0" w:line="360" w:lineRule="auto"/>
        <w:ind w:firstLine="455" w:firstLineChars="207"/>
        <w:rPr>
          <w:color w:val="auto"/>
          <w:sz w:val="22"/>
          <w:szCs w:val="22"/>
          <w:highlight w:val="none"/>
        </w:rPr>
      </w:pPr>
      <w:r>
        <w:rPr>
          <w:color w:val="auto"/>
          <w:sz w:val="22"/>
          <w:szCs w:val="22"/>
          <w:highlight w:val="none"/>
        </w:rPr>
        <w:t>经查，</w:t>
      </w:r>
      <w:r>
        <w:rPr>
          <w:rFonts w:hint="eastAsia"/>
          <w:color w:val="auto"/>
          <w:sz w:val="22"/>
          <w:szCs w:val="22"/>
          <w:highlight w:val="none"/>
        </w:rPr>
        <w:t>不可撤销银行</w:t>
      </w:r>
      <w:r>
        <w:rPr>
          <w:color w:val="auto"/>
          <w:sz w:val="22"/>
          <w:szCs w:val="22"/>
          <w:highlight w:val="none"/>
        </w:rPr>
        <w:t>履约保函</w:t>
      </w:r>
      <w:r>
        <w:rPr>
          <w:rFonts w:hint="eastAsia"/>
          <w:color w:val="auto"/>
          <w:sz w:val="22"/>
          <w:szCs w:val="22"/>
          <w:highlight w:val="none"/>
        </w:rPr>
        <w:t>（或担保公司履约担保书）</w:t>
      </w:r>
      <w:r>
        <w:rPr>
          <w:color w:val="auto"/>
          <w:sz w:val="22"/>
          <w:szCs w:val="22"/>
          <w:highlight w:val="none"/>
        </w:rPr>
        <w:t>上的签字、印章属实。</w:t>
      </w:r>
    </w:p>
    <w:p>
      <w:pPr>
        <w:pStyle w:val="46"/>
        <w:spacing w:before="0" w:beforeAutospacing="0" w:after="0" w:afterAutospacing="0" w:line="360" w:lineRule="auto"/>
        <w:rPr>
          <w:color w:val="auto"/>
          <w:sz w:val="22"/>
          <w:szCs w:val="22"/>
          <w:highlight w:val="none"/>
        </w:rPr>
      </w:pPr>
    </w:p>
    <w:p>
      <w:pPr>
        <w:pStyle w:val="46"/>
        <w:spacing w:before="0" w:beforeAutospacing="0" w:after="0" w:afterAutospacing="0" w:line="360" w:lineRule="auto"/>
        <w:rPr>
          <w:color w:val="auto"/>
          <w:sz w:val="21"/>
          <w:szCs w:val="21"/>
          <w:highlight w:val="none"/>
        </w:rPr>
      </w:pPr>
    </w:p>
    <w:p>
      <w:pPr>
        <w:pStyle w:val="46"/>
        <w:spacing w:before="0" w:beforeAutospacing="0" w:after="0" w:afterAutospacing="0" w:line="360" w:lineRule="auto"/>
        <w:rPr>
          <w:color w:val="auto"/>
          <w:sz w:val="21"/>
          <w:szCs w:val="21"/>
          <w:highlight w:val="none"/>
        </w:rPr>
      </w:pPr>
    </w:p>
    <w:p>
      <w:pPr>
        <w:pStyle w:val="46"/>
        <w:spacing w:before="0" w:beforeAutospacing="0" w:after="0" w:afterAutospacing="0" w:line="360" w:lineRule="auto"/>
        <w:jc w:val="right"/>
        <w:rPr>
          <w:color w:val="auto"/>
          <w:sz w:val="21"/>
          <w:szCs w:val="21"/>
          <w:highlight w:val="none"/>
        </w:rPr>
      </w:pPr>
      <w:r>
        <w:rPr>
          <w:color w:val="auto"/>
          <w:sz w:val="21"/>
          <w:szCs w:val="21"/>
          <w:highlight w:val="none"/>
        </w:rPr>
        <w:t>中华人民共和国××省××市（县）公证处</w:t>
      </w:r>
    </w:p>
    <w:p>
      <w:pPr>
        <w:pStyle w:val="46"/>
        <w:spacing w:before="0" w:beforeAutospacing="0" w:after="0" w:afterAutospacing="0" w:line="360" w:lineRule="auto"/>
        <w:ind w:firstLine="6887" w:firstLineChars="3280"/>
        <w:rPr>
          <w:color w:val="auto"/>
          <w:sz w:val="21"/>
          <w:szCs w:val="21"/>
          <w:highlight w:val="none"/>
        </w:rPr>
      </w:pPr>
      <w:r>
        <w:rPr>
          <w:color w:val="auto"/>
          <w:sz w:val="21"/>
          <w:szCs w:val="21"/>
          <w:highlight w:val="none"/>
        </w:rPr>
        <w:t>公证员 （签名）</w:t>
      </w:r>
    </w:p>
    <w:p>
      <w:pPr>
        <w:ind w:firstLine="6825" w:firstLineChars="3250"/>
        <w:jc w:val="left"/>
        <w:rPr>
          <w:rFonts w:ascii="宋体" w:hAnsi="宋体"/>
          <w:color w:val="auto"/>
          <w:sz w:val="22"/>
          <w:szCs w:val="22"/>
          <w:highlight w:val="none"/>
        </w:rPr>
      </w:pPr>
      <w:r>
        <w:rPr>
          <w:rFonts w:hAnsi="宋体"/>
          <w:color w:val="auto"/>
          <w:szCs w:val="21"/>
          <w:highlight w:val="none"/>
        </w:rPr>
        <w:t>××××年×月×</w:t>
      </w:r>
    </w:p>
    <w:p>
      <w:pPr>
        <w:widowControl/>
        <w:jc w:val="left"/>
        <w:rPr>
          <w:rFonts w:ascii="宋体" w:hAnsi="宋体"/>
          <w:color w:val="auto"/>
          <w:sz w:val="22"/>
          <w:szCs w:val="22"/>
          <w:highlight w:val="none"/>
        </w:rPr>
      </w:pPr>
      <w:r>
        <w:rPr>
          <w:rFonts w:ascii="宋体" w:hAnsi="宋体"/>
          <w:color w:val="auto"/>
          <w:sz w:val="22"/>
          <w:szCs w:val="22"/>
          <w:highlight w:val="none"/>
        </w:rPr>
        <w:br w:type="page"/>
      </w:r>
    </w:p>
    <w:p>
      <w:pPr>
        <w:pStyle w:val="4"/>
        <w:spacing w:line="360" w:lineRule="auto"/>
        <w:ind w:left="0" w:firstLine="0"/>
        <w:jc w:val="left"/>
        <w:rPr>
          <w:rFonts w:ascii="宋体" w:hAnsi="宋体" w:eastAsia="宋体"/>
          <w:bCs/>
          <w:color w:val="auto"/>
          <w:kern w:val="44"/>
          <w:highlight w:val="none"/>
          <w:lang w:val="zh-CN"/>
        </w:rPr>
      </w:pPr>
      <w:bookmarkStart w:id="160" w:name="_Toc61529856"/>
      <w:r>
        <w:rPr>
          <w:rFonts w:hint="eastAsia" w:ascii="宋体" w:hAnsi="宋体" w:eastAsia="宋体"/>
          <w:bCs/>
          <w:color w:val="auto"/>
          <w:kern w:val="44"/>
          <w:highlight w:val="none"/>
          <w:lang w:val="zh-CN"/>
        </w:rPr>
        <w:t>附件四</w:t>
      </w:r>
      <w:r>
        <w:rPr>
          <w:rFonts w:ascii="宋体" w:hAnsi="宋体" w:eastAsia="宋体"/>
          <w:bCs/>
          <w:color w:val="auto"/>
          <w:kern w:val="44"/>
          <w:highlight w:val="none"/>
          <w:lang w:val="zh-CN"/>
        </w:rPr>
        <w:t xml:space="preserve"> </w:t>
      </w:r>
      <w:r>
        <w:rPr>
          <w:rFonts w:hint="eastAsia" w:ascii="宋体" w:hAnsi="宋体" w:eastAsia="宋体"/>
          <w:bCs/>
          <w:color w:val="auto"/>
          <w:kern w:val="44"/>
          <w:highlight w:val="none"/>
          <w:lang w:val="zh-CN"/>
        </w:rPr>
        <w:t>退履约担保申请表格式</w:t>
      </w:r>
      <w:bookmarkEnd w:id="160"/>
    </w:p>
    <w:p>
      <w:pPr>
        <w:jc w:val="center"/>
        <w:rPr>
          <w:b/>
          <w:color w:val="auto"/>
          <w:sz w:val="22"/>
          <w:szCs w:val="22"/>
          <w:highlight w:val="none"/>
        </w:rPr>
      </w:pPr>
      <w:r>
        <w:rPr>
          <w:rFonts w:hint="eastAsia"/>
          <w:b/>
          <w:color w:val="auto"/>
          <w:sz w:val="22"/>
          <w:szCs w:val="22"/>
          <w:highlight w:val="none"/>
        </w:rPr>
        <w:t>退履约担保申请表</w:t>
      </w:r>
    </w:p>
    <w:p>
      <w:pP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金额单位：人民币元</w:t>
      </w:r>
    </w:p>
    <w:p>
      <w:pPr>
        <w:spacing w:line="360" w:lineRule="auto"/>
        <w:ind w:left="-287" w:firstLine="429" w:firstLineChars="195"/>
        <w:rPr>
          <w:rFonts w:ascii="宋体" w:hAnsi="宋体"/>
          <w:color w:val="auto"/>
          <w:sz w:val="22"/>
          <w:szCs w:val="22"/>
          <w:highlight w:val="none"/>
        </w:rPr>
      </w:pPr>
      <w:r>
        <w:rPr>
          <w:rFonts w:hint="eastAsia" w:ascii="宋体" w:hAnsi="宋体"/>
          <w:color w:val="auto"/>
          <w:sz w:val="22"/>
          <w:szCs w:val="22"/>
          <w:highlight w:val="none"/>
        </w:rPr>
        <w:t xml:space="preserve">投标人名称（盖章）：                            联系人：             电话：  </w:t>
      </w:r>
    </w:p>
    <w:tbl>
      <w:tblPr>
        <w:tblStyle w:val="5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330"/>
        <w:gridCol w:w="1981"/>
        <w:gridCol w:w="367"/>
        <w:gridCol w:w="788"/>
        <w:gridCol w:w="167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10" w:type="dxa"/>
            <w:noWrap w:val="0"/>
            <w:vAlign w:val="top"/>
          </w:tcPr>
          <w:p>
            <w:pPr>
              <w:spacing w:line="360" w:lineRule="auto"/>
              <w:rPr>
                <w:rFonts w:ascii="宋体" w:hAnsi="宋体"/>
                <w:color w:val="auto"/>
                <w:sz w:val="22"/>
                <w:szCs w:val="22"/>
                <w:highlight w:val="none"/>
              </w:rPr>
            </w:pPr>
            <w:r>
              <w:rPr>
                <w:rFonts w:hint="eastAsia" w:ascii="宋体" w:hAnsi="宋体"/>
                <w:color w:val="auto"/>
                <w:sz w:val="22"/>
                <w:szCs w:val="22"/>
                <w:highlight w:val="none"/>
              </w:rPr>
              <w:t>招标人名称</w:t>
            </w:r>
          </w:p>
        </w:tc>
        <w:tc>
          <w:tcPr>
            <w:tcW w:w="3466" w:type="dxa"/>
            <w:gridSpan w:val="4"/>
            <w:noWrap w:val="0"/>
            <w:vAlign w:val="top"/>
          </w:tcPr>
          <w:p>
            <w:pPr>
              <w:spacing w:line="360" w:lineRule="auto"/>
              <w:ind w:right="-286" w:rightChars="-136"/>
              <w:rPr>
                <w:rFonts w:ascii="宋体" w:hAnsi="宋体"/>
                <w:color w:val="auto"/>
                <w:sz w:val="22"/>
                <w:szCs w:val="22"/>
                <w:highlight w:val="none"/>
              </w:rPr>
            </w:pPr>
          </w:p>
        </w:tc>
        <w:tc>
          <w:tcPr>
            <w:tcW w:w="3466" w:type="dxa"/>
            <w:gridSpan w:val="2"/>
            <w:noWrap w:val="0"/>
            <w:vAlign w:val="top"/>
          </w:tcPr>
          <w:p>
            <w:pPr>
              <w:spacing w:line="360" w:lineRule="auto"/>
              <w:rPr>
                <w:rFonts w:ascii="宋体" w:hAnsi="宋体"/>
                <w:color w:val="auto"/>
                <w:sz w:val="22"/>
                <w:szCs w:val="22"/>
                <w:highlight w:val="none"/>
              </w:rPr>
            </w:pPr>
            <w:r>
              <w:rPr>
                <w:rFonts w:hint="eastAsia" w:ascii="宋体" w:hAnsi="宋体"/>
                <w:color w:val="auto"/>
                <w:sz w:val="22"/>
                <w:szCs w:val="22"/>
                <w:highlight w:val="none"/>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10" w:type="dxa"/>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招标代理机构名称</w:t>
            </w:r>
          </w:p>
        </w:tc>
        <w:tc>
          <w:tcPr>
            <w:tcW w:w="6932" w:type="dxa"/>
            <w:gridSpan w:val="6"/>
            <w:noWrap w:val="0"/>
            <w:vAlign w:val="top"/>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10" w:type="dxa"/>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招标项目名称</w:t>
            </w:r>
          </w:p>
        </w:tc>
        <w:tc>
          <w:tcPr>
            <w:tcW w:w="2311" w:type="dxa"/>
            <w:gridSpan w:val="2"/>
            <w:noWrap w:val="0"/>
            <w:vAlign w:val="top"/>
          </w:tcPr>
          <w:p>
            <w:pPr>
              <w:spacing w:line="360" w:lineRule="auto"/>
              <w:rPr>
                <w:rFonts w:ascii="宋体" w:hAnsi="宋体"/>
                <w:color w:val="auto"/>
                <w:sz w:val="22"/>
                <w:szCs w:val="22"/>
                <w:highlight w:val="none"/>
              </w:rPr>
            </w:pPr>
          </w:p>
        </w:tc>
        <w:tc>
          <w:tcPr>
            <w:tcW w:w="2827" w:type="dxa"/>
            <w:gridSpan w:val="3"/>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招标编号</w:t>
            </w:r>
          </w:p>
        </w:tc>
        <w:tc>
          <w:tcPr>
            <w:tcW w:w="1794" w:type="dxa"/>
            <w:noWrap w:val="0"/>
            <w:vAlign w:val="top"/>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10" w:type="dxa"/>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招标金额</w:t>
            </w:r>
          </w:p>
        </w:tc>
        <w:tc>
          <w:tcPr>
            <w:tcW w:w="2311" w:type="dxa"/>
            <w:gridSpan w:val="2"/>
            <w:noWrap w:val="0"/>
            <w:vAlign w:val="top"/>
          </w:tcPr>
          <w:p>
            <w:pPr>
              <w:spacing w:line="360" w:lineRule="auto"/>
              <w:rPr>
                <w:rFonts w:ascii="宋体" w:hAnsi="宋体"/>
                <w:color w:val="auto"/>
                <w:sz w:val="22"/>
                <w:szCs w:val="22"/>
                <w:highlight w:val="none"/>
              </w:rPr>
            </w:pPr>
          </w:p>
        </w:tc>
        <w:tc>
          <w:tcPr>
            <w:tcW w:w="2827" w:type="dxa"/>
            <w:gridSpan w:val="3"/>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中标（成交）通知书编号</w:t>
            </w:r>
          </w:p>
        </w:tc>
        <w:tc>
          <w:tcPr>
            <w:tcW w:w="1794" w:type="dxa"/>
            <w:noWrap w:val="0"/>
            <w:vAlign w:val="top"/>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310" w:type="dxa"/>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采购合同签订时间</w:t>
            </w:r>
          </w:p>
        </w:tc>
        <w:tc>
          <w:tcPr>
            <w:tcW w:w="2311" w:type="dxa"/>
            <w:gridSpan w:val="2"/>
            <w:noWrap w:val="0"/>
            <w:vAlign w:val="top"/>
          </w:tcPr>
          <w:p>
            <w:pPr>
              <w:spacing w:line="360" w:lineRule="auto"/>
              <w:rPr>
                <w:rFonts w:ascii="宋体" w:hAnsi="宋体"/>
                <w:color w:val="auto"/>
                <w:sz w:val="22"/>
                <w:szCs w:val="22"/>
                <w:highlight w:val="none"/>
              </w:rPr>
            </w:pPr>
          </w:p>
        </w:tc>
        <w:tc>
          <w:tcPr>
            <w:tcW w:w="2827" w:type="dxa"/>
            <w:gridSpan w:val="3"/>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项目验收时间</w:t>
            </w:r>
          </w:p>
        </w:tc>
        <w:tc>
          <w:tcPr>
            <w:tcW w:w="1794" w:type="dxa"/>
            <w:noWrap w:val="0"/>
            <w:vAlign w:val="top"/>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242" w:type="dxa"/>
            <w:gridSpan w:val="7"/>
            <w:noWrap w:val="0"/>
            <w:vAlign w:val="top"/>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招标人：</w:t>
            </w:r>
          </w:p>
          <w:p>
            <w:pPr>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本项目我公司已按合同规定履约完毕，现申请将履约担保退回，请予以办理。履约保证金请退回以下账户：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40" w:type="dxa"/>
            <w:gridSpan w:val="2"/>
            <w:noWrap w:val="0"/>
            <w:vAlign w:val="center"/>
          </w:tcPr>
          <w:p>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申请退回的履约担保金额：</w:t>
            </w:r>
          </w:p>
        </w:tc>
        <w:tc>
          <w:tcPr>
            <w:tcW w:w="2348" w:type="dxa"/>
            <w:gridSpan w:val="2"/>
            <w:noWrap w:val="0"/>
            <w:vAlign w:val="center"/>
          </w:tcPr>
          <w:p>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小写:￥     元</w:t>
            </w:r>
          </w:p>
        </w:tc>
        <w:tc>
          <w:tcPr>
            <w:tcW w:w="4254" w:type="dxa"/>
            <w:gridSpan w:val="3"/>
            <w:noWrap w:val="0"/>
            <w:vAlign w:val="center"/>
          </w:tcPr>
          <w:p>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vMerge w:val="restart"/>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账户名称：</w:t>
            </w:r>
          </w:p>
        </w:tc>
        <w:tc>
          <w:tcPr>
            <w:tcW w:w="4621" w:type="dxa"/>
            <w:gridSpan w:val="4"/>
            <w:noWrap w:val="0"/>
            <w:vAlign w:val="center"/>
          </w:tcPr>
          <w:p>
            <w:pPr>
              <w:spacing w:line="360" w:lineRule="auto"/>
              <w:jc w:val="center"/>
              <w:rPr>
                <w:rFonts w:ascii="宋体" w:hAnsi="宋体"/>
                <w:color w:val="auto"/>
                <w:sz w:val="22"/>
                <w:szCs w:val="22"/>
                <w:highlight w:val="none"/>
              </w:rPr>
            </w:pPr>
            <w:r>
              <w:rPr>
                <w:rFonts w:hint="eastAsia" w:ascii="宋体" w:hAnsi="宋体" w:cs="宋体"/>
                <w:color w:val="auto"/>
                <w:kern w:val="0"/>
                <w:sz w:val="22"/>
                <w:szCs w:val="22"/>
                <w:highlight w:val="none"/>
              </w:rPr>
              <w:t>申请人签章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vMerge w:val="continue"/>
            <w:noWrap w:val="0"/>
            <w:vAlign w:val="center"/>
          </w:tcPr>
          <w:p>
            <w:pPr>
              <w:spacing w:line="360" w:lineRule="auto"/>
              <w:jc w:val="center"/>
              <w:rPr>
                <w:rFonts w:ascii="宋体" w:hAnsi="宋体"/>
                <w:color w:val="auto"/>
                <w:sz w:val="22"/>
                <w:szCs w:val="22"/>
                <w:highlight w:val="none"/>
              </w:rPr>
            </w:pPr>
          </w:p>
        </w:tc>
        <w:tc>
          <w:tcPr>
            <w:tcW w:w="2827" w:type="dxa"/>
            <w:gridSpan w:val="3"/>
            <w:noWrap w:val="0"/>
            <w:vAlign w:val="center"/>
          </w:tcPr>
          <w:p>
            <w:pPr>
              <w:spacing w:line="360" w:lineRule="auto"/>
              <w:jc w:val="center"/>
              <w:rPr>
                <w:rFonts w:ascii="宋体" w:hAnsi="宋体"/>
                <w:color w:val="auto"/>
                <w:sz w:val="22"/>
                <w:szCs w:val="22"/>
                <w:highlight w:val="none"/>
              </w:rPr>
            </w:pPr>
            <w:r>
              <w:rPr>
                <w:rFonts w:hint="eastAsia" w:ascii="宋体" w:hAnsi="宋体" w:cs="宋体"/>
                <w:color w:val="auto"/>
                <w:kern w:val="0"/>
                <w:sz w:val="22"/>
                <w:szCs w:val="22"/>
                <w:highlight w:val="none"/>
              </w:rPr>
              <w:t>法定代表人</w:t>
            </w:r>
          </w:p>
        </w:tc>
        <w:tc>
          <w:tcPr>
            <w:tcW w:w="1794" w:type="dxa"/>
            <w:noWrap w:val="0"/>
            <w:vAlign w:val="center"/>
          </w:tcPr>
          <w:p>
            <w:pPr>
              <w:spacing w:line="360" w:lineRule="auto"/>
              <w:jc w:val="center"/>
              <w:rPr>
                <w:rFonts w:ascii="宋体" w:hAnsi="宋体"/>
                <w:color w:val="auto"/>
                <w:sz w:val="22"/>
                <w:szCs w:val="22"/>
                <w:highlight w:val="none"/>
              </w:rPr>
            </w:pPr>
            <w:r>
              <w:rPr>
                <w:rFonts w:hint="eastAsia" w:ascii="宋体" w:hAnsi="宋体" w:cs="宋体"/>
                <w:color w:val="auto"/>
                <w:kern w:val="0"/>
                <w:sz w:val="22"/>
                <w:szCs w:val="22"/>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noWrap w:val="0"/>
            <w:vAlign w:val="top"/>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开户银行：</w:t>
            </w:r>
          </w:p>
        </w:tc>
        <w:tc>
          <w:tcPr>
            <w:tcW w:w="2827" w:type="dxa"/>
            <w:gridSpan w:val="3"/>
            <w:noWrap w:val="0"/>
            <w:vAlign w:val="top"/>
          </w:tcPr>
          <w:p>
            <w:pPr>
              <w:spacing w:line="360" w:lineRule="auto"/>
              <w:rPr>
                <w:rFonts w:ascii="宋体" w:hAnsi="宋体"/>
                <w:color w:val="auto"/>
                <w:sz w:val="22"/>
                <w:szCs w:val="22"/>
                <w:highlight w:val="none"/>
              </w:rPr>
            </w:pPr>
          </w:p>
        </w:tc>
        <w:tc>
          <w:tcPr>
            <w:tcW w:w="1794" w:type="dxa"/>
            <w:noWrap w:val="0"/>
            <w:vAlign w:val="top"/>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noWrap w:val="0"/>
            <w:vAlign w:val="center"/>
          </w:tcPr>
          <w:p>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账号：</w:t>
            </w:r>
          </w:p>
        </w:tc>
        <w:tc>
          <w:tcPr>
            <w:tcW w:w="2827" w:type="dxa"/>
            <w:gridSpan w:val="3"/>
            <w:noWrap w:val="0"/>
            <w:vAlign w:val="center"/>
          </w:tcPr>
          <w:p>
            <w:pP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年　　月　　日</w:t>
            </w:r>
          </w:p>
        </w:tc>
        <w:tc>
          <w:tcPr>
            <w:tcW w:w="1794" w:type="dxa"/>
            <w:noWrap w:val="0"/>
            <w:vAlign w:val="center"/>
          </w:tcPr>
          <w:p>
            <w:pP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招标人意见</w:t>
            </w:r>
          </w:p>
        </w:tc>
        <w:tc>
          <w:tcPr>
            <w:tcW w:w="4621" w:type="dxa"/>
            <w:gridSpan w:val="4"/>
            <w:noWrap w:val="0"/>
            <w:vAlign w:val="center"/>
          </w:tcPr>
          <w:p>
            <w:pPr>
              <w:spacing w:line="360" w:lineRule="auto"/>
              <w:jc w:val="center"/>
              <w:rPr>
                <w:rFonts w:ascii="宋体" w:hAnsi="宋体"/>
                <w:color w:val="auto"/>
                <w:sz w:val="22"/>
                <w:szCs w:val="22"/>
                <w:highlight w:val="none"/>
              </w:rPr>
            </w:pPr>
            <w:r>
              <w:rPr>
                <w:rFonts w:hint="eastAsia" w:ascii="宋体" w:hAnsi="宋体" w:cs="宋体"/>
                <w:color w:val="auto"/>
                <w:kern w:val="0"/>
                <w:sz w:val="22"/>
                <w:szCs w:val="22"/>
                <w:highlight w:val="none"/>
              </w:rPr>
              <w:t>招标人签章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vMerge w:val="restart"/>
            <w:noWrap w:val="0"/>
            <w:vAlign w:val="top"/>
          </w:tcPr>
          <w:p>
            <w:pPr>
              <w:spacing w:line="360" w:lineRule="auto"/>
              <w:rPr>
                <w:rFonts w:ascii="宋体" w:hAnsi="宋体"/>
                <w:color w:val="auto"/>
                <w:sz w:val="22"/>
                <w:szCs w:val="22"/>
                <w:highlight w:val="none"/>
              </w:rPr>
            </w:pPr>
          </w:p>
        </w:tc>
        <w:tc>
          <w:tcPr>
            <w:tcW w:w="2827" w:type="dxa"/>
            <w:gridSpan w:val="3"/>
            <w:noWrap w:val="0"/>
            <w:vAlign w:val="center"/>
          </w:tcPr>
          <w:p>
            <w:pPr>
              <w:spacing w:line="360" w:lineRule="auto"/>
              <w:jc w:val="center"/>
              <w:rPr>
                <w:rFonts w:ascii="宋体" w:hAnsi="宋体"/>
                <w:color w:val="auto"/>
                <w:sz w:val="22"/>
                <w:szCs w:val="22"/>
                <w:highlight w:val="none"/>
              </w:rPr>
            </w:pPr>
            <w:r>
              <w:rPr>
                <w:rFonts w:hint="eastAsia" w:ascii="宋体" w:hAnsi="宋体" w:cs="宋体"/>
                <w:color w:val="auto"/>
                <w:kern w:val="0"/>
                <w:sz w:val="22"/>
                <w:szCs w:val="22"/>
                <w:highlight w:val="none"/>
              </w:rPr>
              <w:t>负责人</w:t>
            </w:r>
          </w:p>
        </w:tc>
        <w:tc>
          <w:tcPr>
            <w:tcW w:w="1794" w:type="dxa"/>
            <w:noWrap w:val="0"/>
            <w:vAlign w:val="center"/>
          </w:tcPr>
          <w:p>
            <w:pPr>
              <w:spacing w:line="360" w:lineRule="auto"/>
              <w:jc w:val="center"/>
              <w:rPr>
                <w:rFonts w:ascii="宋体" w:hAnsi="宋体"/>
                <w:color w:val="auto"/>
                <w:sz w:val="22"/>
                <w:szCs w:val="22"/>
                <w:highlight w:val="none"/>
              </w:rPr>
            </w:pPr>
            <w:r>
              <w:rPr>
                <w:rFonts w:hint="eastAsia" w:ascii="宋体" w:hAnsi="宋体" w:cs="宋体"/>
                <w:color w:val="auto"/>
                <w:kern w:val="0"/>
                <w:sz w:val="22"/>
                <w:szCs w:val="22"/>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21" w:type="dxa"/>
            <w:gridSpan w:val="3"/>
            <w:vMerge w:val="continue"/>
            <w:noWrap w:val="0"/>
            <w:vAlign w:val="top"/>
          </w:tcPr>
          <w:p>
            <w:pPr>
              <w:spacing w:line="360" w:lineRule="auto"/>
              <w:rPr>
                <w:rFonts w:ascii="宋体" w:hAnsi="宋体"/>
                <w:color w:val="auto"/>
                <w:sz w:val="22"/>
                <w:szCs w:val="22"/>
                <w:highlight w:val="none"/>
              </w:rPr>
            </w:pPr>
          </w:p>
        </w:tc>
        <w:tc>
          <w:tcPr>
            <w:tcW w:w="2827" w:type="dxa"/>
            <w:gridSpan w:val="3"/>
            <w:noWrap w:val="0"/>
            <w:vAlign w:val="top"/>
          </w:tcPr>
          <w:p>
            <w:pPr>
              <w:spacing w:line="360" w:lineRule="auto"/>
              <w:rPr>
                <w:rFonts w:ascii="宋体" w:hAnsi="宋体"/>
                <w:color w:val="auto"/>
                <w:sz w:val="22"/>
                <w:szCs w:val="22"/>
                <w:highlight w:val="none"/>
              </w:rPr>
            </w:pPr>
          </w:p>
        </w:tc>
        <w:tc>
          <w:tcPr>
            <w:tcW w:w="1794" w:type="dxa"/>
            <w:noWrap w:val="0"/>
            <w:vAlign w:val="top"/>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621" w:type="dxa"/>
            <w:gridSpan w:val="3"/>
            <w:vMerge w:val="continue"/>
            <w:noWrap w:val="0"/>
            <w:vAlign w:val="top"/>
          </w:tcPr>
          <w:p>
            <w:pPr>
              <w:spacing w:line="360" w:lineRule="auto"/>
              <w:rPr>
                <w:rFonts w:ascii="宋体" w:hAnsi="宋体"/>
                <w:color w:val="auto"/>
                <w:sz w:val="22"/>
                <w:szCs w:val="22"/>
                <w:highlight w:val="none"/>
              </w:rPr>
            </w:pPr>
          </w:p>
        </w:tc>
        <w:tc>
          <w:tcPr>
            <w:tcW w:w="2827" w:type="dxa"/>
            <w:gridSpan w:val="3"/>
            <w:noWrap w:val="0"/>
            <w:vAlign w:val="center"/>
          </w:tcPr>
          <w:p>
            <w:pP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年　　月　　日</w:t>
            </w:r>
          </w:p>
        </w:tc>
        <w:tc>
          <w:tcPr>
            <w:tcW w:w="1794" w:type="dxa"/>
            <w:noWrap w:val="0"/>
            <w:vAlign w:val="center"/>
          </w:tcPr>
          <w:p>
            <w:pP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年　　月　　日</w:t>
            </w:r>
          </w:p>
        </w:tc>
      </w:tr>
    </w:tbl>
    <w:p>
      <w:pPr>
        <w:spacing w:line="360" w:lineRule="auto"/>
        <w:rPr>
          <w:rFonts w:ascii="宋体" w:hAnsi="宋体"/>
          <w:color w:val="auto"/>
          <w:sz w:val="22"/>
          <w:szCs w:val="22"/>
          <w:highlight w:val="none"/>
        </w:rPr>
      </w:pPr>
      <w:bookmarkStart w:id="161" w:name="_Toc441844138"/>
      <w:r>
        <w:rPr>
          <w:rFonts w:hint="eastAsia" w:ascii="宋体" w:hAnsi="宋体"/>
          <w:color w:val="auto"/>
          <w:sz w:val="22"/>
          <w:szCs w:val="22"/>
          <w:highlight w:val="none"/>
        </w:rPr>
        <w:t>注：本格式只作参考，招标人可根据公司实际调整。</w:t>
      </w:r>
      <w:bookmarkEnd w:id="161"/>
      <w:bookmarkStart w:id="162" w:name="_Toc441844097"/>
    </w:p>
    <w:p>
      <w:pPr>
        <w:spacing w:line="360" w:lineRule="auto"/>
        <w:rPr>
          <w:rFonts w:ascii="宋体" w:hAnsi="宋体"/>
          <w:color w:val="auto"/>
          <w:sz w:val="22"/>
          <w:szCs w:val="22"/>
          <w:highlight w:val="none"/>
        </w:rPr>
      </w:pPr>
    </w:p>
    <w:p>
      <w:pPr>
        <w:spacing w:line="360" w:lineRule="auto"/>
        <w:rPr>
          <w:rFonts w:ascii="宋体" w:hAnsi="宋体"/>
          <w:color w:val="auto"/>
          <w:sz w:val="22"/>
          <w:szCs w:val="22"/>
          <w:highlight w:val="none"/>
        </w:rPr>
      </w:pPr>
    </w:p>
    <w:p>
      <w:pPr>
        <w:spacing w:line="360" w:lineRule="auto"/>
        <w:rPr>
          <w:rFonts w:ascii="宋体" w:hAnsi="宋体"/>
          <w:color w:val="auto"/>
          <w:sz w:val="22"/>
          <w:szCs w:val="22"/>
          <w:highlight w:val="none"/>
        </w:rPr>
      </w:pPr>
    </w:p>
    <w:p>
      <w:pPr>
        <w:pStyle w:val="3"/>
        <w:jc w:val="center"/>
        <w:rPr>
          <w:rFonts w:ascii="Times New Roman" w:hAnsi="Times New Roman" w:eastAsia="宋体"/>
          <w:color w:val="auto"/>
          <w:highlight w:val="none"/>
        </w:rPr>
      </w:pPr>
      <w:bookmarkStart w:id="163" w:name="_Toc61529857"/>
      <w:r>
        <w:rPr>
          <w:rFonts w:ascii="Times New Roman" w:hAnsi="Times New Roman" w:eastAsia="宋体"/>
          <w:color w:val="auto"/>
          <w:highlight w:val="none"/>
        </w:rPr>
        <w:t>第三章 评标办法</w:t>
      </w:r>
      <w:bookmarkEnd w:id="162"/>
      <w:bookmarkEnd w:id="163"/>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widowControl/>
        <w:jc w:val="left"/>
        <w:rPr>
          <w:rFonts w:ascii="Times New Roman" w:hAnsi="Times New Roman" w:eastAsia="黑体"/>
          <w:b/>
          <w:color w:val="auto"/>
          <w:kern w:val="0"/>
          <w:sz w:val="22"/>
          <w:szCs w:val="22"/>
          <w:highlight w:val="none"/>
        </w:rPr>
      </w:pPr>
      <w:bookmarkStart w:id="164" w:name="_Toc425348171"/>
      <w:bookmarkStart w:id="165" w:name="_Toc396137263"/>
      <w:bookmarkStart w:id="166" w:name="_Toc441844098"/>
      <w:r>
        <w:rPr>
          <w:rFonts w:ascii="Times New Roman" w:hAnsi="Times New Roman"/>
          <w:color w:val="auto"/>
          <w:sz w:val="22"/>
          <w:szCs w:val="22"/>
          <w:highlight w:val="none"/>
        </w:rPr>
        <w:br w:type="page"/>
      </w:r>
    </w:p>
    <w:p>
      <w:pPr>
        <w:pStyle w:val="4"/>
        <w:tabs>
          <w:tab w:val="left" w:pos="0"/>
          <w:tab w:val="clear" w:pos="1440"/>
        </w:tabs>
        <w:ind w:left="0" w:firstLine="0"/>
        <w:rPr>
          <w:rFonts w:hint="eastAsia" w:ascii="宋体" w:hAnsi="宋体" w:eastAsia="宋体" w:cs="宋体"/>
          <w:color w:val="auto"/>
          <w:sz w:val="22"/>
          <w:szCs w:val="22"/>
          <w:highlight w:val="none"/>
        </w:rPr>
      </w:pPr>
      <w:bookmarkStart w:id="167" w:name="_Toc61529858"/>
      <w:r>
        <w:rPr>
          <w:rFonts w:hint="eastAsia" w:ascii="宋体" w:hAnsi="宋体" w:eastAsia="宋体" w:cs="宋体"/>
          <w:color w:val="auto"/>
          <w:sz w:val="22"/>
          <w:szCs w:val="22"/>
          <w:highlight w:val="none"/>
        </w:rPr>
        <w:t>一、评标原则和目的</w:t>
      </w:r>
      <w:bookmarkEnd w:id="164"/>
      <w:bookmarkEnd w:id="165"/>
      <w:bookmarkEnd w:id="166"/>
      <w:bookmarkEnd w:id="167"/>
    </w:p>
    <w:p>
      <w:pPr>
        <w:pStyle w:val="116"/>
        <w:spacing w:line="360" w:lineRule="auto"/>
        <w:ind w:left="420" w:hanging="420" w:firstLineChars="0"/>
        <w:rPr>
          <w:rFonts w:ascii="宋体" w:hAnsi="宋体" w:eastAsia="宋体" w:cs="宋体"/>
          <w:color w:val="auto"/>
          <w:sz w:val="22"/>
          <w:szCs w:val="22"/>
          <w:highlight w:val="none"/>
          <w:lang w:val="zh-CN"/>
        </w:rPr>
      </w:pPr>
      <w:r>
        <w:rPr>
          <w:rFonts w:ascii="宋体" w:hAnsi="宋体" w:eastAsia="宋体" w:cs="宋体"/>
          <w:color w:val="auto"/>
          <w:sz w:val="22"/>
          <w:szCs w:val="22"/>
          <w:highlight w:val="none"/>
          <w:lang w:val="zh-CN"/>
        </w:rPr>
        <w:t xml:space="preserve">1.1 </w:t>
      </w:r>
      <w:r>
        <w:rPr>
          <w:rFonts w:hint="eastAsia" w:ascii="宋体" w:hAnsi="宋体" w:eastAsia="宋体" w:cs="宋体"/>
          <w:color w:val="auto"/>
          <w:sz w:val="22"/>
          <w:szCs w:val="22"/>
          <w:highlight w:val="none"/>
          <w:lang w:val="zh-CN"/>
        </w:rPr>
        <w:t>本项目的采购依据《中华人民共和国招标投标法》以及国家、地方政府和东莞市轨道交通有限公司有关采购的相关文件规定执行。评标必须遵循公开、公平、公正、诚实信用的原则。评标按照招标文件规定的内容进行，采取</w:t>
      </w:r>
      <w:r>
        <w:rPr>
          <w:rFonts w:hint="eastAsia" w:ascii="宋体" w:hAnsi="宋体" w:eastAsia="宋体" w:cs="宋体"/>
          <w:b/>
          <w:bCs/>
          <w:color w:val="auto"/>
          <w:sz w:val="22"/>
          <w:szCs w:val="22"/>
          <w:highlight w:val="none"/>
          <w:u w:val="single"/>
          <w:lang w:val="zh-CN"/>
        </w:rPr>
        <w:t>综合评分法</w:t>
      </w:r>
      <w:r>
        <w:rPr>
          <w:rFonts w:hint="eastAsia" w:ascii="宋体" w:hAnsi="宋体" w:eastAsia="宋体" w:cs="宋体"/>
          <w:color w:val="auto"/>
          <w:sz w:val="22"/>
          <w:szCs w:val="22"/>
          <w:highlight w:val="none"/>
          <w:lang w:val="zh-CN"/>
        </w:rPr>
        <w:t>，避免纯技术或纯经济的倾向。</w:t>
      </w:r>
    </w:p>
    <w:p>
      <w:pPr>
        <w:pStyle w:val="116"/>
        <w:spacing w:line="360" w:lineRule="auto"/>
        <w:ind w:left="420" w:hanging="420" w:firstLineChars="0"/>
        <w:rPr>
          <w:rFonts w:ascii="宋体" w:hAnsi="宋体" w:eastAsia="宋体" w:cs="宋体"/>
          <w:color w:val="auto"/>
          <w:sz w:val="22"/>
          <w:szCs w:val="22"/>
          <w:highlight w:val="none"/>
          <w:lang w:val="zh-CN"/>
        </w:rPr>
      </w:pPr>
      <w:r>
        <w:rPr>
          <w:rFonts w:ascii="宋体" w:hAnsi="宋体" w:eastAsia="宋体" w:cs="宋体"/>
          <w:color w:val="auto"/>
          <w:sz w:val="22"/>
          <w:szCs w:val="22"/>
          <w:highlight w:val="none"/>
          <w:lang w:val="zh-CN"/>
        </w:rPr>
        <w:t>1.2 本办法的评标对象是指投标人按照招标文件要求提供的有效投标文件，包括投标人应评标委员会要求对原投标文件作出的正式书面澄清文件。</w:t>
      </w:r>
    </w:p>
    <w:p>
      <w:pPr>
        <w:pStyle w:val="116"/>
        <w:spacing w:line="360" w:lineRule="auto"/>
        <w:ind w:left="420" w:hanging="420" w:firstLineChars="0"/>
        <w:rPr>
          <w:rFonts w:ascii="宋体" w:hAnsi="宋体" w:eastAsia="宋体" w:cs="宋体"/>
          <w:color w:val="auto"/>
          <w:sz w:val="22"/>
          <w:szCs w:val="22"/>
          <w:highlight w:val="none"/>
          <w:lang w:val="zh-CN"/>
        </w:rPr>
      </w:pPr>
      <w:r>
        <w:rPr>
          <w:rFonts w:ascii="宋体" w:hAnsi="宋体" w:eastAsia="宋体" w:cs="宋体"/>
          <w:color w:val="auto"/>
          <w:sz w:val="22"/>
          <w:szCs w:val="22"/>
          <w:highlight w:val="none"/>
          <w:lang w:val="zh-CN"/>
        </w:rPr>
        <w:t xml:space="preserve">1.3 </w:t>
      </w:r>
      <w:r>
        <w:rPr>
          <w:rFonts w:hint="eastAsia" w:ascii="宋体" w:hAnsi="宋体" w:eastAsia="宋体" w:cs="宋体"/>
          <w:color w:val="auto"/>
          <w:sz w:val="22"/>
          <w:szCs w:val="22"/>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4"/>
        <w:tabs>
          <w:tab w:val="left" w:pos="0"/>
          <w:tab w:val="clear" w:pos="1440"/>
        </w:tabs>
        <w:ind w:left="0" w:firstLine="0"/>
        <w:rPr>
          <w:rFonts w:hint="eastAsia" w:ascii="宋体" w:hAnsi="宋体" w:eastAsia="宋体" w:cs="宋体"/>
          <w:color w:val="auto"/>
          <w:sz w:val="22"/>
          <w:szCs w:val="22"/>
          <w:highlight w:val="none"/>
        </w:rPr>
      </w:pPr>
      <w:bookmarkStart w:id="168" w:name="_Toc61529859"/>
      <w:bookmarkStart w:id="169" w:name="_Toc425348172"/>
      <w:bookmarkStart w:id="170" w:name="_Toc396137264"/>
      <w:bookmarkStart w:id="171" w:name="_Toc441844099"/>
      <w:r>
        <w:rPr>
          <w:rFonts w:hint="eastAsia" w:ascii="宋体" w:hAnsi="宋体" w:eastAsia="宋体" w:cs="宋体"/>
          <w:color w:val="auto"/>
          <w:sz w:val="22"/>
          <w:szCs w:val="22"/>
          <w:highlight w:val="none"/>
        </w:rPr>
        <w:t>二、评标程序</w:t>
      </w:r>
      <w:bookmarkEnd w:id="168"/>
      <w:bookmarkEnd w:id="169"/>
      <w:bookmarkEnd w:id="170"/>
      <w:bookmarkEnd w:id="171"/>
    </w:p>
    <w:p>
      <w:pPr>
        <w:spacing w:line="360" w:lineRule="auto"/>
        <w:ind w:left="420" w:leftChars="200"/>
        <w:rPr>
          <w:rFonts w:hint="eastAsia" w:ascii="宋体" w:hAnsi="宋体" w:eastAsia="宋体" w:cs="宋体"/>
          <w:b/>
          <w:color w:val="auto"/>
          <w:sz w:val="22"/>
          <w:szCs w:val="22"/>
          <w:highlight w:val="none"/>
        </w:rPr>
      </w:pPr>
      <w:bookmarkStart w:id="172" w:name="_Toc441844100"/>
      <w:r>
        <w:rPr>
          <w:rFonts w:hint="eastAsia" w:ascii="宋体" w:hAnsi="宋体" w:eastAsia="宋体" w:cs="宋体"/>
          <w:color w:val="auto"/>
          <w:sz w:val="22"/>
          <w:szCs w:val="22"/>
          <w:highlight w:val="none"/>
        </w:rPr>
        <w:t>评标步骤：先进行资格、符合性审查，再进行商务和技术评审。按照评标程序的规定和依据评分标准，各评委就每个投标人的商务状况、技术状况及其对招标文件要求的响应情况进行评议和比较，评出其商务评分和技术评分。各评委的评分的算术平均值即为该投标人的商务评分和技术评分。然后，评出价格得分。将商务评分、技术评分和价格评分相加得出综合得分（保留小数点后两位数）。</w:t>
      </w:r>
      <w:bookmarkEnd w:id="172"/>
    </w:p>
    <w:p>
      <w:pPr>
        <w:pStyle w:val="116"/>
        <w:numPr>
          <w:ilvl w:val="0"/>
          <w:numId w:val="49"/>
        </w:numPr>
        <w:spacing w:line="360" w:lineRule="auto"/>
        <w:ind w:left="426" w:hanging="426"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资格、符合性审查</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1、资格性审查是指评标委员会依据法律法规和招标文件的规定，对投标文件中的资格要求证明、投标保证金、投标人（含其不具有独立法人资格的分支机构）信用等进行审查，以确定投标人是否具备投标资格。</w:t>
      </w:r>
    </w:p>
    <w:p>
      <w:pPr>
        <w:spacing w:line="360" w:lineRule="auto"/>
        <w:ind w:left="420" w:left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2、符合性审查时，投标人存在下列情况之一的，投标无效：</w:t>
      </w:r>
    </w:p>
    <w:p>
      <w:pPr>
        <w:spacing w:line="360" w:lineRule="auto"/>
        <w:ind w:left="420" w:left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1)投标文件未按招标文件要求签署、盖章的；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w:t>
      </w:r>
    </w:p>
    <w:p>
      <w:pPr>
        <w:spacing w:line="360" w:lineRule="auto"/>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①投标文件无法定代表人或其授权代表签字，或签字人无法定代表人有效授权的；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②投标文件签字、盖章不符合招标文件要求的；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③投标文件的关键内容字迹模糊、无法辨认的。</w:t>
      </w:r>
    </w:p>
    <w:p>
      <w:pPr>
        <w:spacing w:line="360" w:lineRule="auto"/>
        <w:ind w:left="420" w:left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2)报价超过招标文件中规定的预算金额或者最高限价的；</w:t>
      </w:r>
    </w:p>
    <w:p>
      <w:pPr>
        <w:spacing w:line="360" w:lineRule="auto"/>
        <w:ind w:left="420" w:left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3)投标文件含有招标人不能接受的附加条件的；</w:t>
      </w:r>
    </w:p>
    <w:p>
      <w:pPr>
        <w:spacing w:line="360" w:lineRule="auto"/>
        <w:ind w:left="420" w:left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4)投标文件未满足招标文件的实质性要求的；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①投标文件不满足招标文件中加注星号（★）的重要条款要求的；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②投标有效期未满足招标文件要求的；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③投标文件商务和技术响应与事实不符或虚假投标的；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④将一个包中的内容拆开投标的；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⑤投标人对同一服务投标时，同时提供两套或两套以上的投标方案的；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⑥投标文件份数不满足招标文件要求的；</w:t>
      </w:r>
    </w:p>
    <w:p>
      <w:pPr>
        <w:spacing w:line="360" w:lineRule="auto"/>
        <w:ind w:left="420"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7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⑦</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其他未实质性响应招标文件要求的。</w:t>
      </w:r>
    </w:p>
    <w:p>
      <w:pPr>
        <w:spacing w:line="360" w:lineRule="auto"/>
        <w:ind w:left="420" w:left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5)法律、法规和招标文件规定的其他无效情形。</w:t>
      </w:r>
    </w:p>
    <w:p>
      <w:pPr>
        <w:pStyle w:val="116"/>
        <w:numPr>
          <w:ilvl w:val="0"/>
          <w:numId w:val="49"/>
        </w:numPr>
        <w:spacing w:line="360" w:lineRule="auto"/>
        <w:ind w:left="426" w:hanging="426"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资格、符合性审查表</w:t>
      </w:r>
    </w:p>
    <w:tbl>
      <w:tblPr>
        <w:tblStyle w:val="5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097"/>
        <w:gridCol w:w="1080"/>
        <w:gridCol w:w="1210"/>
        <w:gridCol w:w="1210"/>
        <w:gridCol w:w="1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69" w:type="pct"/>
            <w:gridSpan w:val="2"/>
            <w:tcBorders>
              <w:tl2br w:val="single" w:color="auto" w:sz="4" w:space="0"/>
            </w:tcBorders>
            <w:noWrap w:val="0"/>
            <w:vAlign w:val="top"/>
          </w:tcPr>
          <w:p>
            <w:pPr>
              <w:spacing w:line="360" w:lineRule="auto"/>
              <w:ind w:firstLine="1540" w:firstLineChars="7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投标单位</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评审内容</w:t>
            </w:r>
          </w:p>
        </w:tc>
        <w:tc>
          <w:tcPr>
            <w:tcW w:w="767" w:type="pct"/>
            <w:noWrap w:val="0"/>
            <w:vAlign w:val="top"/>
          </w:tcPr>
          <w:p>
            <w:pPr>
              <w:spacing w:line="360" w:lineRule="auto"/>
              <w:rPr>
                <w:rFonts w:hint="eastAsia" w:ascii="宋体" w:hAnsi="宋体" w:eastAsia="宋体" w:cs="宋体"/>
                <w:b/>
                <w:color w:val="auto"/>
                <w:sz w:val="22"/>
                <w:szCs w:val="22"/>
                <w:highlight w:val="none"/>
              </w:rPr>
            </w:pPr>
          </w:p>
        </w:tc>
        <w:tc>
          <w:tcPr>
            <w:tcW w:w="843" w:type="pct"/>
            <w:noWrap w:val="0"/>
            <w:vAlign w:val="top"/>
          </w:tcPr>
          <w:p>
            <w:pPr>
              <w:spacing w:line="360" w:lineRule="auto"/>
              <w:rPr>
                <w:rFonts w:hint="eastAsia" w:ascii="宋体" w:hAnsi="宋体" w:eastAsia="宋体" w:cs="宋体"/>
                <w:b/>
                <w:color w:val="auto"/>
                <w:sz w:val="22"/>
                <w:szCs w:val="22"/>
                <w:highlight w:val="none"/>
              </w:rPr>
            </w:pPr>
          </w:p>
        </w:tc>
        <w:tc>
          <w:tcPr>
            <w:tcW w:w="843" w:type="pct"/>
            <w:noWrap w:val="0"/>
            <w:vAlign w:val="top"/>
          </w:tcPr>
          <w:p>
            <w:pPr>
              <w:spacing w:line="360" w:lineRule="auto"/>
              <w:rPr>
                <w:rFonts w:hint="eastAsia" w:ascii="宋体" w:hAnsi="宋体" w:eastAsia="宋体" w:cs="宋体"/>
                <w:b/>
                <w:color w:val="auto"/>
                <w:sz w:val="22"/>
                <w:szCs w:val="22"/>
                <w:highlight w:val="none"/>
              </w:rPr>
            </w:pPr>
          </w:p>
        </w:tc>
        <w:tc>
          <w:tcPr>
            <w:tcW w:w="876" w:type="pct"/>
            <w:noWrap w:val="0"/>
            <w:vAlign w:val="top"/>
          </w:tcPr>
          <w:p>
            <w:pPr>
              <w:spacing w:line="360" w:lineRule="auto"/>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restart"/>
            <w:tcBorders>
              <w:top w:val="single" w:color="auto" w:sz="4" w:space="0"/>
              <w:right w:val="single" w:color="auto" w:sz="4" w:space="0"/>
            </w:tcBorders>
            <w:noWrap w:val="0"/>
            <w:vAlign w:val="center"/>
          </w:tcPr>
          <w:p>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资格性审查</w:t>
            </w: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1.符合投标人符合合格投标人的基本条件的</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center"/>
          </w:tcPr>
          <w:p>
            <w:pPr>
              <w:jc w:val="cente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r>
              <w:rPr>
                <w:rFonts w:hint="eastAsia" w:ascii="宋体" w:hAnsi="宋体" w:eastAsia="宋体" w:cs="宋体"/>
                <w:color w:val="auto"/>
                <w:sz w:val="22"/>
                <w:szCs w:val="22"/>
                <w:highlight w:val="none"/>
              </w:rPr>
              <w:t xml:space="preserve"> </w:t>
            </w:r>
            <w:r>
              <w:rPr>
                <w:rFonts w:hint="eastAsia" w:ascii="宋体" w:hAnsi="宋体" w:eastAsia="宋体" w:cs="宋体"/>
                <w:b/>
                <w:color w:val="auto"/>
                <w:sz w:val="22"/>
                <w:szCs w:val="22"/>
                <w:highlight w:val="none"/>
              </w:rPr>
              <w:t>未被列入“国家企业信用信息公示系统”网站（http://www.gsxt.gov.cn）严重违法失信企业名单；未被列入“中国执行信息公开网”失信执行人</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center"/>
          </w:tcPr>
          <w:p>
            <w:pPr>
              <w:jc w:val="cente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3.不存在大额诉讼或多宗诉讼或其他违法、违约等影响本次招标项目正常履约的情形</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center"/>
          </w:tcPr>
          <w:p>
            <w:pPr>
              <w:jc w:val="cente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4.不存在投标人或其关联公司曾与东莞市交通投资集团有限公司及其下属企业签订合，且正在履约过程中因投标人或其关联公司严重违约而导致合同变更、中止、解除的情形</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center"/>
          </w:tcPr>
          <w:p>
            <w:pPr>
              <w:jc w:val="cente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5.投标人或其关联公司未与东莞市交通投资集团有公司及其下属企业发生诉讼的</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center"/>
          </w:tcPr>
          <w:p>
            <w:pPr>
              <w:jc w:val="cente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6.不存在院判决或仲裁裁决认定投标人或其关联公司在与东莞市交通投资集团有限公司及其下属企业履约过程中存在违约或过失责任的情形的</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restart"/>
            <w:tcBorders>
              <w:top w:val="single" w:color="auto" w:sz="4" w:space="0"/>
              <w:right w:val="single" w:color="auto" w:sz="4" w:space="0"/>
            </w:tcBorders>
            <w:noWrap w:val="0"/>
            <w:vAlign w:val="center"/>
          </w:tcPr>
          <w:p>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符合性审查</w:t>
            </w: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1.投标文件按招标文件要求签署、盖章的</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top"/>
          </w:tcPr>
          <w:p>
            <w:pP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2.报价未超过招标文件中规定的预算金额或者最高限价的</w:t>
            </w:r>
          </w:p>
        </w:tc>
        <w:tc>
          <w:tcPr>
            <w:tcW w:w="767"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top"/>
          </w:tcPr>
          <w:p>
            <w:pP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3.投标文件不含有招标人不能接受的附加条件的</w:t>
            </w:r>
          </w:p>
        </w:tc>
        <w:tc>
          <w:tcPr>
            <w:tcW w:w="767" w:type="pct"/>
            <w:noWrap w:val="0"/>
            <w:vAlign w:val="top"/>
          </w:tcPr>
          <w:p>
            <w:pPr>
              <w:rPr>
                <w:rFonts w:hint="eastAsia" w:ascii="宋体" w:hAnsi="宋体" w:eastAsia="宋体" w:cs="宋体"/>
                <w:b/>
                <w:color w:val="auto"/>
                <w:sz w:val="22"/>
                <w:szCs w:val="22"/>
                <w:highlight w:val="none"/>
              </w:rPr>
            </w:pPr>
          </w:p>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top"/>
          </w:tcPr>
          <w:p>
            <w:pP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4.投标文件满足招标文件的实质性要求的</w:t>
            </w:r>
          </w:p>
        </w:tc>
        <w:tc>
          <w:tcPr>
            <w:tcW w:w="767" w:type="pct"/>
            <w:noWrap w:val="0"/>
            <w:vAlign w:val="top"/>
          </w:tcPr>
          <w:p>
            <w:pPr>
              <w:rPr>
                <w:rFonts w:hint="eastAsia" w:ascii="宋体" w:hAnsi="宋体" w:eastAsia="宋体" w:cs="宋体"/>
                <w:b/>
                <w:color w:val="auto"/>
                <w:sz w:val="22"/>
                <w:szCs w:val="22"/>
                <w:highlight w:val="none"/>
              </w:rPr>
            </w:pPr>
          </w:p>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vMerge w:val="continue"/>
            <w:tcBorders>
              <w:right w:val="single" w:color="auto" w:sz="4" w:space="0"/>
            </w:tcBorders>
            <w:noWrap w:val="0"/>
            <w:vAlign w:val="top"/>
          </w:tcPr>
          <w:p>
            <w:pPr>
              <w:rPr>
                <w:rFonts w:hint="eastAsia" w:ascii="宋体" w:hAnsi="宋体" w:eastAsia="宋体" w:cs="宋体"/>
                <w:b/>
                <w:color w:val="auto"/>
                <w:sz w:val="22"/>
                <w:szCs w:val="22"/>
                <w:highlight w:val="none"/>
              </w:rPr>
            </w:pPr>
          </w:p>
        </w:tc>
        <w:tc>
          <w:tcPr>
            <w:tcW w:w="1150" w:type="pct"/>
            <w:tcBorders>
              <w:left w:val="single" w:color="auto" w:sz="4" w:space="0"/>
            </w:tcBorders>
            <w:noWrap w:val="0"/>
            <w:vAlign w:val="center"/>
          </w:tcPr>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5.无法律、法规和招标文件规定的其他无效情形</w:t>
            </w:r>
          </w:p>
        </w:tc>
        <w:tc>
          <w:tcPr>
            <w:tcW w:w="767" w:type="pct"/>
            <w:noWrap w:val="0"/>
            <w:vAlign w:val="top"/>
          </w:tcPr>
          <w:p>
            <w:pPr>
              <w:rPr>
                <w:rFonts w:hint="eastAsia" w:ascii="宋体" w:hAnsi="宋体" w:eastAsia="宋体" w:cs="宋体"/>
                <w:b/>
                <w:color w:val="auto"/>
                <w:sz w:val="22"/>
                <w:szCs w:val="22"/>
                <w:highlight w:val="none"/>
              </w:rPr>
            </w:pPr>
          </w:p>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43" w:type="pct"/>
            <w:noWrap w:val="0"/>
            <w:vAlign w:val="top"/>
          </w:tcPr>
          <w:p>
            <w:pPr>
              <w:rPr>
                <w:rFonts w:hint="eastAsia" w:ascii="宋体" w:hAnsi="宋体" w:eastAsia="宋体" w:cs="宋体"/>
                <w:b/>
                <w:color w:val="auto"/>
                <w:sz w:val="22"/>
                <w:szCs w:val="22"/>
                <w:highlight w:val="none"/>
              </w:rPr>
            </w:pPr>
          </w:p>
        </w:tc>
        <w:tc>
          <w:tcPr>
            <w:tcW w:w="876" w:type="pct"/>
            <w:noWrap w:val="0"/>
            <w:vAlign w:val="top"/>
          </w:tcPr>
          <w:p>
            <w:pPr>
              <w:rPr>
                <w:rFonts w:hint="eastAsia" w:ascii="宋体" w:hAnsi="宋体" w:eastAsia="宋体" w:cs="宋体"/>
                <w:b/>
                <w:color w:val="auto"/>
                <w:sz w:val="22"/>
                <w:szCs w:val="22"/>
                <w:highlight w:val="none"/>
              </w:rPr>
            </w:pPr>
          </w:p>
        </w:tc>
      </w:tr>
    </w:tbl>
    <w:p>
      <w:pPr>
        <w:pStyle w:val="116"/>
        <w:numPr>
          <w:ilvl w:val="0"/>
          <w:numId w:val="49"/>
        </w:numPr>
        <w:spacing w:line="360" w:lineRule="auto"/>
        <w:ind w:firstLineChars="0"/>
        <w:rPr>
          <w:rFonts w:hint="eastAsia" w:ascii="宋体" w:hAnsi="宋体" w:eastAsia="宋体" w:cs="宋体"/>
          <w:color w:val="auto"/>
          <w:sz w:val="22"/>
          <w:szCs w:val="22"/>
          <w:highlight w:val="none"/>
        </w:rPr>
      </w:pPr>
      <w:bookmarkStart w:id="173" w:name="_Toc441844108"/>
      <w:bookmarkStart w:id="174" w:name="_Toc61529860"/>
      <w:bookmarkStart w:id="175" w:name="_Toc425348173"/>
      <w:bookmarkStart w:id="176" w:name="_Toc396137265"/>
      <w:r>
        <w:rPr>
          <w:rFonts w:hint="eastAsia" w:ascii="宋体" w:hAnsi="宋体" w:eastAsia="宋体" w:cs="宋体"/>
          <w:color w:val="auto"/>
          <w:sz w:val="22"/>
          <w:szCs w:val="22"/>
          <w:highlight w:val="none"/>
        </w:rPr>
        <w:t>以上资格、符合性审查中带部分有不合格分项的投标文件，将作废标处理。经评标委员会确认的无效投标文件，招标人和招标代理机构将予以拒绝，并且不允许通过修正或撤消其不符合要求的差异，使之成为具有符合性的投标文件。</w:t>
      </w:r>
    </w:p>
    <w:p>
      <w:pPr>
        <w:pStyle w:val="116"/>
        <w:numPr>
          <w:ilvl w:val="0"/>
          <w:numId w:val="49"/>
        </w:numPr>
        <w:spacing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评标委员会就投标人的投标文件进行资格、符合性审查，经评标委员会确认具有有效投标文件的投标人不足三家时将重新组织招标。</w:t>
      </w:r>
    </w:p>
    <w:p>
      <w:pPr>
        <w:pStyle w:val="116"/>
        <w:numPr>
          <w:ilvl w:val="0"/>
          <w:numId w:val="49"/>
        </w:numPr>
        <w:spacing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现场澄清：按招标文件第二章。</w:t>
      </w:r>
    </w:p>
    <w:p>
      <w:pPr>
        <w:pStyle w:val="116"/>
        <w:numPr>
          <w:ilvl w:val="0"/>
          <w:numId w:val="49"/>
        </w:numPr>
        <w:spacing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细微偏差修正</w:t>
      </w:r>
    </w:p>
    <w:p>
      <w:pPr>
        <w:pStyle w:val="46"/>
        <w:widowControl w:val="0"/>
        <w:numPr>
          <w:ilvl w:val="0"/>
          <w:numId w:val="50"/>
        </w:numPr>
        <w:spacing w:before="0" w:beforeAutospacing="0" w:after="0" w:afterAutospacing="0" w:line="360" w:lineRule="auto"/>
        <w:ind w:left="851" w:hanging="5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细微偏差是指经评标委员会确认为具有符合性的投标文件虽然实质上响应招标文件要求，但个别地方存在遗漏或者提供了不完整的技术信息及数据，并且修正这些遗漏或者不完整不会更改投标文件的实质性内容。</w:t>
      </w:r>
    </w:p>
    <w:p>
      <w:pPr>
        <w:pStyle w:val="46"/>
        <w:widowControl w:val="0"/>
        <w:numPr>
          <w:ilvl w:val="0"/>
          <w:numId w:val="50"/>
        </w:numPr>
        <w:spacing w:before="0" w:beforeAutospacing="0" w:after="0" w:afterAutospacing="0" w:line="360" w:lineRule="auto"/>
        <w:ind w:left="851" w:hanging="5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经评标委员会确认为具有符合性的投标文件，若存在个别计算或累计方面的算术错误可视为投标文件存在细微偏差并按照以下原则进行修正：</w:t>
      </w:r>
    </w:p>
    <w:p>
      <w:pPr>
        <w:spacing w:line="360" w:lineRule="auto"/>
        <w:ind w:left="850" w:leftChars="405"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中投标报价一览表内容与投标文件中相应内容不一致的，以投标报价一览表为准；大写金额和小写金额不一致的，以大写金额为准；单价金额小数点或者百分比有明显错位的，以投标报价一览表的总价为准，并修改单价；总价金额与按单价汇总金额不一致的，以单价金额计算结果为准。同时出现两种以上不一致的，按照前款规定的顺序修正。修正后的报价经投标人确认后产生约束力，投标人不确认的，其投标无效。对不同文字文本投标文件的解释发生异议的，以中文文本为准。</w:t>
      </w:r>
    </w:p>
    <w:p>
      <w:pPr>
        <w:pStyle w:val="46"/>
        <w:widowControl w:val="0"/>
        <w:numPr>
          <w:ilvl w:val="0"/>
          <w:numId w:val="50"/>
        </w:numPr>
        <w:spacing w:before="0" w:beforeAutospacing="0" w:after="0" w:afterAutospacing="0" w:line="360" w:lineRule="auto"/>
        <w:ind w:left="851" w:hanging="5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按照上述修正调整后的内容经投标人确认后，对投标人起约束作用。</w:t>
      </w:r>
    </w:p>
    <w:p>
      <w:pPr>
        <w:pStyle w:val="46"/>
        <w:widowControl w:val="0"/>
        <w:numPr>
          <w:ilvl w:val="0"/>
          <w:numId w:val="50"/>
        </w:numPr>
        <w:spacing w:before="0" w:beforeAutospacing="0" w:after="0" w:afterAutospacing="0" w:line="360" w:lineRule="auto"/>
        <w:ind w:left="851" w:hanging="5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经评标委员会确认存在细微偏差的投标文件，评标委员会可以于评标结果宣布之前要求投标人对投标文件中存在的细微偏差进行修正，若投标人拒绝修正，则其投标文件将被拒绝。</w:t>
      </w:r>
    </w:p>
    <w:p>
      <w:pPr>
        <w:pStyle w:val="116"/>
        <w:numPr>
          <w:ilvl w:val="0"/>
          <w:numId w:val="49"/>
        </w:numPr>
        <w:spacing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得分统计及推荐中标候选人名单</w:t>
      </w:r>
    </w:p>
    <w:p>
      <w:pPr>
        <w:pStyle w:val="46"/>
        <w:widowControl w:val="0"/>
        <w:numPr>
          <w:ilvl w:val="0"/>
          <w:numId w:val="51"/>
        </w:numPr>
        <w:spacing w:before="0" w:beforeAutospacing="0" w:after="0" w:afterAutospacing="0" w:line="360" w:lineRule="auto"/>
        <w:ind w:left="780" w:hanging="4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评标程序、评分标准以及权重分配的规定，评标委员会各成员分别首先就各个投标人的商务、技术状况及其对招标文件要求的响应情况进行评议和比较，评出其商务、技术评分，所有评委各投标人的商务、技术得分算术平均，得出平均得分，将各投标人的商务、技术得分和价格得分相加得出其综合得分，按最终综合得分由高向低排序。</w:t>
      </w:r>
    </w:p>
    <w:p>
      <w:pPr>
        <w:pStyle w:val="46"/>
        <w:widowControl w:val="0"/>
        <w:numPr>
          <w:ilvl w:val="0"/>
          <w:numId w:val="51"/>
        </w:numPr>
        <w:spacing w:before="0" w:beforeAutospacing="0" w:after="0" w:afterAutospacing="0" w:line="360" w:lineRule="auto"/>
        <w:ind w:left="780" w:hanging="4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投标人的最终评标得分＝商务、技术得分+价格得分,评分统计的结果数据须经评委验算审核并签名确认。</w:t>
      </w:r>
    </w:p>
    <w:p>
      <w:pPr>
        <w:pStyle w:val="46"/>
        <w:widowControl w:val="0"/>
        <w:numPr>
          <w:ilvl w:val="0"/>
          <w:numId w:val="51"/>
        </w:numPr>
        <w:spacing w:before="0" w:beforeAutospacing="0" w:after="0" w:afterAutospacing="0" w:line="360" w:lineRule="auto"/>
        <w:ind w:left="780" w:hanging="4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推荐中标候选人</w:t>
      </w:r>
    </w:p>
    <w:p>
      <w:pPr>
        <w:pStyle w:val="46"/>
        <w:widowControl w:val="0"/>
        <w:spacing w:before="0" w:beforeAutospacing="0" w:after="0" w:afterAutospacing="0" w:line="360" w:lineRule="auto"/>
        <w:ind w:left="850" w:leftChars="40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zh-CN"/>
        </w:rPr>
        <w:t>评标委员会按评审后得分由高到低顺序排列，并向招标人推荐最后综合得分最高的前三名投标人为中标候选人（综合得分排名第一、第二、第三的投标人分别为第一、第二、第三中标候选人），招标人将确定第一中标候选人为中标人。如果有两个或以上的投标人的综合得分相同，则在综合得分相同的投标人中按投标报价由低到高顺序排出次序。如果出现投标人的综合得分及投标报价均相同时，则按商务部分得分高低排序，商务部分得分高的排在前，商务部分得分低在排在后，若综合得分、投标报价、商务部分得分均相同，则用抽签的方式确定投标人的排名次序。如果推荐的第一中标候选人放弃中标资格，或因不可抗力无法签订合同，则招标人可按推荐的中标候选人排名顺序依次确定中标人，亦可决定组织重新招标。</w:t>
      </w:r>
    </w:p>
    <w:p>
      <w:pPr>
        <w:pStyle w:val="116"/>
        <w:numPr>
          <w:ilvl w:val="0"/>
          <w:numId w:val="49"/>
        </w:numPr>
        <w:spacing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编制评标报告。</w:t>
      </w:r>
    </w:p>
    <w:p>
      <w:pPr>
        <w:spacing w:line="360" w:lineRule="auto"/>
        <w:ind w:left="630" w:leftChars="30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评标委员会根据评标结果撰写评标报告。评标报告是评标委员会根据全体评标成员签名的原始评标记录和评标结果编写的报告，其主要内容包括：</w:t>
      </w:r>
    </w:p>
    <w:p>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1、招标公告刊登的媒体名称、开标日期和地点；</w:t>
      </w:r>
    </w:p>
    <w:p>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2、购买招标文件的投标人名单和评标委员会成员名单；</w:t>
      </w:r>
    </w:p>
    <w:p>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3、评标方法和标准；</w:t>
      </w:r>
    </w:p>
    <w:p>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4、开标记录和评标情况及说明，包括投标无效投标人名单及原因；</w:t>
      </w:r>
    </w:p>
    <w:p>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5、评标结果和中标候选投标人排序表；</w:t>
      </w:r>
    </w:p>
    <w:p>
      <w:pPr>
        <w:spacing w:line="360" w:lineRule="auto"/>
        <w:ind w:firstLine="849" w:firstLineChars="38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6、评标委员会的授标建议。</w:t>
      </w:r>
    </w:p>
    <w:p>
      <w:pPr>
        <w:pStyle w:val="4"/>
        <w:tabs>
          <w:tab w:val="left" w:pos="0"/>
          <w:tab w:val="clear" w:pos="1440"/>
        </w:tabs>
        <w:ind w:left="0" w:firstLine="221" w:firstLineChars="100"/>
        <w:rPr>
          <w:rFonts w:ascii="Times New Roman" w:hAnsi="Times New Roman"/>
          <w:b w:val="0"/>
          <w:color w:val="auto"/>
          <w:sz w:val="22"/>
          <w:szCs w:val="22"/>
          <w:highlight w:val="none"/>
        </w:rPr>
      </w:pPr>
      <w:r>
        <w:rPr>
          <w:rFonts w:ascii="Times New Roman" w:hAnsi="Times New Roman"/>
          <w:color w:val="auto"/>
          <w:sz w:val="22"/>
          <w:szCs w:val="22"/>
          <w:highlight w:val="none"/>
        </w:rPr>
        <w:t>三、评分标准和细则</w:t>
      </w:r>
      <w:bookmarkEnd w:id="173"/>
      <w:bookmarkEnd w:id="174"/>
      <w:bookmarkEnd w:id="175"/>
      <w:bookmarkEnd w:id="176"/>
    </w:p>
    <w:p>
      <w:pPr>
        <w:pStyle w:val="116"/>
        <w:numPr>
          <w:ilvl w:val="0"/>
          <w:numId w:val="52"/>
        </w:numPr>
        <w:spacing w:line="360" w:lineRule="auto"/>
        <w:ind w:left="0" w:firstLine="0" w:firstLineChars="0"/>
        <w:rPr>
          <w:rFonts w:ascii="宋体" w:hAnsi="宋体" w:eastAsia="宋体"/>
          <w:color w:val="auto"/>
          <w:sz w:val="22"/>
          <w:szCs w:val="22"/>
          <w:highlight w:val="none"/>
          <w:lang w:val="zh-CN"/>
        </w:rPr>
      </w:pPr>
      <w:r>
        <w:rPr>
          <w:rFonts w:hint="eastAsia" w:ascii="宋体" w:hAnsi="宋体" w:eastAsia="宋体"/>
          <w:b/>
          <w:color w:val="auto"/>
          <w:sz w:val="22"/>
          <w:szCs w:val="22"/>
          <w:highlight w:val="none"/>
          <w:lang w:val="zh-CN"/>
        </w:rPr>
        <w:t>评分因素及分值</w:t>
      </w:r>
    </w:p>
    <w:p>
      <w:pPr>
        <w:pStyle w:val="116"/>
        <w:widowControl/>
        <w:numPr>
          <w:ilvl w:val="0"/>
          <w:numId w:val="53"/>
        </w:numPr>
        <w:spacing w:line="360" w:lineRule="auto"/>
        <w:ind w:left="709" w:hanging="709" w:firstLineChars="0"/>
        <w:jc w:val="left"/>
        <w:rPr>
          <w:rFonts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评委考核打分的评分因素及分值</w:t>
      </w:r>
      <w:r>
        <w:rPr>
          <w:rFonts w:ascii="宋体" w:hAnsi="宋体" w:eastAsia="宋体" w:cs="宋体"/>
          <w:b/>
          <w:bCs/>
          <w:color w:val="auto"/>
          <w:sz w:val="22"/>
          <w:szCs w:val="22"/>
          <w:highlight w:val="none"/>
          <w:lang w:val="zh-CN"/>
        </w:rPr>
        <w:t>:</w:t>
      </w:r>
      <w:r>
        <w:rPr>
          <w:rFonts w:hint="eastAsia" w:ascii="宋体" w:hAnsi="宋体" w:eastAsia="宋体" w:cs="宋体"/>
          <w:b/>
          <w:bCs/>
          <w:color w:val="auto"/>
          <w:sz w:val="22"/>
          <w:szCs w:val="22"/>
          <w:highlight w:val="none"/>
          <w:lang w:val="zh-CN"/>
        </w:rPr>
        <w:t>总分</w:t>
      </w:r>
      <w:r>
        <w:rPr>
          <w:rFonts w:ascii="宋体" w:hAnsi="宋体" w:eastAsia="宋体" w:cs="宋体"/>
          <w:b/>
          <w:bCs/>
          <w:color w:val="auto"/>
          <w:sz w:val="22"/>
          <w:szCs w:val="22"/>
          <w:highlight w:val="none"/>
          <w:lang w:val="zh-CN"/>
        </w:rPr>
        <w:t>100</w:t>
      </w:r>
      <w:r>
        <w:rPr>
          <w:rFonts w:hint="eastAsia" w:ascii="宋体" w:hAnsi="宋体" w:eastAsia="宋体" w:cs="宋体"/>
          <w:b/>
          <w:bCs/>
          <w:color w:val="auto"/>
          <w:sz w:val="22"/>
          <w:szCs w:val="22"/>
          <w:highlight w:val="none"/>
          <w:lang w:val="zh-CN"/>
        </w:rPr>
        <w:t>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408"/>
        <w:gridCol w:w="4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8" w:type="pct"/>
            <w:noWrap w:val="0"/>
            <w:vAlign w:val="center"/>
          </w:tcPr>
          <w:p>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1413" w:type="pct"/>
            <w:noWrap w:val="0"/>
            <w:vAlign w:val="center"/>
          </w:tcPr>
          <w:p>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评分因素</w:t>
            </w:r>
          </w:p>
        </w:tc>
        <w:tc>
          <w:tcPr>
            <w:tcW w:w="2839" w:type="pct"/>
            <w:noWrap w:val="0"/>
            <w:vAlign w:val="top"/>
          </w:tcPr>
          <w:p>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8"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413"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商务</w:t>
            </w:r>
          </w:p>
        </w:tc>
        <w:tc>
          <w:tcPr>
            <w:tcW w:w="2839" w:type="pct"/>
            <w:noWrap w:val="0"/>
            <w:vAlign w:val="top"/>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lang w:val="en-US" w:eastAsia="zh-CN"/>
              </w:rPr>
              <w:t>30</w:t>
            </w:r>
            <w:r>
              <w:rPr>
                <w:rFonts w:hint="eastAsia"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8"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2</w:t>
            </w:r>
          </w:p>
        </w:tc>
        <w:tc>
          <w:tcPr>
            <w:tcW w:w="1413"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技术</w:t>
            </w:r>
          </w:p>
        </w:tc>
        <w:tc>
          <w:tcPr>
            <w:tcW w:w="2839" w:type="pct"/>
            <w:noWrap w:val="0"/>
            <w:vAlign w:val="top"/>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lang w:val="en-US" w:eastAsia="zh-CN"/>
              </w:rPr>
              <w:t>15</w:t>
            </w:r>
            <w:r>
              <w:rPr>
                <w:rFonts w:hint="eastAsia"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8"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3</w:t>
            </w:r>
          </w:p>
        </w:tc>
        <w:tc>
          <w:tcPr>
            <w:tcW w:w="1413"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价格</w:t>
            </w:r>
          </w:p>
        </w:tc>
        <w:tc>
          <w:tcPr>
            <w:tcW w:w="2839" w:type="pct"/>
            <w:noWrap w:val="0"/>
            <w:vAlign w:val="top"/>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lang w:val="en-US" w:eastAsia="zh-CN"/>
              </w:rPr>
              <w:t>55</w:t>
            </w:r>
            <w:r>
              <w:rPr>
                <w:rFonts w:hint="eastAsia"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61" w:type="pct"/>
            <w:gridSpan w:val="2"/>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总  分</w:t>
            </w:r>
          </w:p>
        </w:tc>
        <w:tc>
          <w:tcPr>
            <w:tcW w:w="2839" w:type="pct"/>
            <w:noWrap w:val="0"/>
            <w:vAlign w:val="top"/>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100分</w:t>
            </w:r>
          </w:p>
        </w:tc>
      </w:tr>
    </w:tbl>
    <w:p>
      <w:pPr>
        <w:pStyle w:val="116"/>
        <w:numPr>
          <w:ilvl w:val="0"/>
          <w:numId w:val="52"/>
        </w:numPr>
        <w:spacing w:line="360" w:lineRule="auto"/>
        <w:ind w:left="0" w:firstLine="0" w:firstLineChars="0"/>
        <w:rPr>
          <w:rFonts w:hAnsi="宋体"/>
          <w:color w:val="auto"/>
          <w:sz w:val="22"/>
          <w:szCs w:val="22"/>
          <w:highlight w:val="none"/>
        </w:rPr>
      </w:pPr>
      <w:r>
        <w:rPr>
          <w:rFonts w:hint="eastAsia" w:hAnsi="宋体"/>
          <w:b/>
          <w:color w:val="auto"/>
          <w:sz w:val="22"/>
          <w:szCs w:val="22"/>
          <w:highlight w:val="none"/>
        </w:rPr>
        <w:t>评分因素分值</w:t>
      </w:r>
    </w:p>
    <w:p>
      <w:pPr>
        <w:pStyle w:val="252"/>
        <w:numPr>
          <w:ilvl w:val="0"/>
          <w:numId w:val="54"/>
        </w:numPr>
        <w:tabs>
          <w:tab w:val="left" w:pos="0"/>
          <w:tab w:val="left" w:pos="643"/>
          <w:tab w:val="left" w:pos="907"/>
          <w:tab w:val="left" w:pos="2552"/>
        </w:tabs>
        <w:spacing w:after="0" w:line="360" w:lineRule="auto"/>
        <w:ind w:left="2552" w:hanging="2552"/>
        <w:rPr>
          <w:rFonts w:ascii="宋体" w:hAnsi="宋体"/>
          <w:b/>
          <w:color w:val="auto"/>
          <w:sz w:val="22"/>
          <w:szCs w:val="22"/>
          <w:highlight w:val="none"/>
        </w:rPr>
      </w:pPr>
      <w:r>
        <w:rPr>
          <w:rFonts w:hint="eastAsia" w:ascii="宋体" w:hAnsi="宋体"/>
          <w:b/>
          <w:color w:val="auto"/>
          <w:sz w:val="22"/>
          <w:szCs w:val="22"/>
          <w:highlight w:val="none"/>
        </w:rPr>
        <w:t>商务评分标准：（总分：</w:t>
      </w:r>
      <w:r>
        <w:rPr>
          <w:rFonts w:hint="eastAsia" w:ascii="宋体" w:hAnsi="宋体"/>
          <w:b/>
          <w:color w:val="auto"/>
          <w:sz w:val="22"/>
          <w:szCs w:val="22"/>
          <w:highlight w:val="none"/>
          <w:lang w:val="en-US" w:eastAsia="zh-CN"/>
        </w:rPr>
        <w:t>30</w:t>
      </w:r>
      <w:r>
        <w:rPr>
          <w:rFonts w:hint="eastAsia" w:ascii="宋体" w:hAnsi="宋体"/>
          <w:b/>
          <w:color w:val="auto"/>
          <w:sz w:val="22"/>
          <w:szCs w:val="22"/>
          <w:highlight w:val="none"/>
        </w:rPr>
        <w:t>分）</w:t>
      </w:r>
    </w:p>
    <w:tbl>
      <w:tblPr>
        <w:tblStyle w:val="51"/>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263"/>
        <w:gridCol w:w="5835"/>
        <w:gridCol w:w="775"/>
      </w:tblGrid>
      <w:tr>
        <w:tblPrEx>
          <w:tblCellMar>
            <w:top w:w="0" w:type="dxa"/>
            <w:left w:w="108" w:type="dxa"/>
            <w:bottom w:w="0" w:type="dxa"/>
            <w:right w:w="108" w:type="dxa"/>
          </w:tblCellMar>
        </w:tblPrEx>
        <w:trPr>
          <w:cantSplit/>
          <w:trHeight w:val="605"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741" w:type="pct"/>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评审内容</w:t>
            </w:r>
          </w:p>
        </w:tc>
        <w:tc>
          <w:tcPr>
            <w:tcW w:w="3423" w:type="pct"/>
            <w:tcBorders>
              <w:left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c>
          <w:tcPr>
            <w:tcW w:w="455" w:type="pct"/>
            <w:tcBorders>
              <w:left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公司实力</w:t>
            </w:r>
          </w:p>
        </w:tc>
        <w:tc>
          <w:tcPr>
            <w:tcW w:w="3423"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具有质量管理体系认证（ISO9001）得1分；具有环境管理体系认证证书（ISO14001）得1分；具有职业健康安全管理标准认证（OHSAS18001）得1分。满分3分，无则不得分。（证书由国家认证认可监督管理部门批准设立的认证机构颁发并在有效期内的证书复印件加盖投标人公章。）</w:t>
            </w:r>
          </w:p>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2、投标人201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年以来三年或以上获得市级或以上工商行政部门颁发的“守合同重信用”证书，得3分；两年获得市级或以上工商行政部门颁发的“守合同重信用”证书，得2分；只有一年获得市级或以上工商行政部门颁发的“守合同重信用”证书，得1分；满分3分,无则不得分。</w:t>
            </w:r>
          </w:p>
          <w:p>
            <w:pPr>
              <w:snapToGrid w:val="0"/>
              <w:spacing w:line="360" w:lineRule="auto"/>
              <w:ind w:firstLine="440" w:firstLineChars="200"/>
              <w:jc w:val="left"/>
              <w:rPr>
                <w:rFonts w:hint="eastAsia"/>
                <w:color w:val="auto"/>
                <w:highlight w:val="none"/>
              </w:rPr>
            </w:pPr>
            <w:r>
              <w:rPr>
                <w:rFonts w:hint="eastAsia" w:ascii="宋体" w:hAnsi="宋体" w:eastAsia="宋体" w:cs="宋体"/>
                <w:color w:val="auto"/>
                <w:sz w:val="22"/>
                <w:szCs w:val="22"/>
                <w:highlight w:val="none"/>
                <w:lang w:val="en-US" w:eastAsia="zh-CN"/>
              </w:rPr>
              <w:t>该项不可重复得分，满分为3分，如投标人所在地级市或以上工商行政部门停止颁发“守合同重信用”证书的，则工商行政部门公布停止颁发“守合同重信用”证书的公告所确定的停止（或暂停）的日期前已取得“守合同重信用”证书，至本项目截标的时间均视为投标人具有“守合同重信用”证书，投标人要提供相关证明文件[含相关停止（或暂停）颁发的“守合同重信用”证书的公告]，且相关证明资料复印件要加盖投标人公章。</w:t>
            </w:r>
          </w:p>
        </w:tc>
        <w:tc>
          <w:tcPr>
            <w:tcW w:w="45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企业财务状况</w:t>
            </w:r>
          </w:p>
        </w:tc>
        <w:tc>
          <w:tcPr>
            <w:tcW w:w="3423"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根据投标人201</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年至今财务审计报告，三年盈利得6分；两年盈利得4分；一年盈利得2分；其他情况不得分。该项不可重复得分。（以经会计师事务所审计的财务审计报告为准，需提供复印件加盖投标人公章）。</w:t>
            </w:r>
          </w:p>
        </w:tc>
        <w:tc>
          <w:tcPr>
            <w:tcW w:w="45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741"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tc>
        <w:tc>
          <w:tcPr>
            <w:tcW w:w="34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提供投标人201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年1月1日至本项目投标截止时间内完成的同类（生产设备）项目销售业绩：</w:t>
            </w:r>
          </w:p>
          <w:p>
            <w:pPr>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1 \* GB3 \* MERGEFORMAT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①</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完成项目业绩单项合同≥120万元，每个得3分；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②完成项目业绩单项合同[60，120）万元，每个得2分；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（此项不重复计分，本项满分为15分；评分以合同及验收证明为准，无则不得分。）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741"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售后服务措施、技术服务、维保承诺计划</w:t>
            </w:r>
          </w:p>
        </w:tc>
        <w:tc>
          <w:tcPr>
            <w:tcW w:w="3423"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投标人承诺设备发生故障后提供上门维修服务响应时间≦24小时的，得3分；服务响应时间(24,48]小时的，得1分；服务响应时间超过48小时的不得分。</w:t>
            </w:r>
            <w:r>
              <w:rPr>
                <w:rFonts w:hint="eastAsia" w:ascii="宋体" w:hAnsi="宋体" w:eastAsia="宋体" w:cs="宋体"/>
                <w:color w:val="auto"/>
                <w:sz w:val="22"/>
                <w:szCs w:val="22"/>
                <w:highlight w:val="none"/>
                <w:lang w:val="en-US" w:eastAsia="zh-CN"/>
              </w:rPr>
              <w:t>本项以投标人提供的售后（维保）承诺函作为评分依据。</w:t>
            </w:r>
          </w:p>
        </w:tc>
        <w:tc>
          <w:tcPr>
            <w:tcW w:w="45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544"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1800"/>
                <w:tab w:val="left" w:pos="2340"/>
              </w:tabs>
              <w:snapToGrid w:val="0"/>
              <w:spacing w:line="360" w:lineRule="auto"/>
              <w:ind w:firstLine="434"/>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合计</w:t>
            </w:r>
          </w:p>
        </w:tc>
        <w:tc>
          <w:tcPr>
            <w:tcW w:w="455" w:type="pct"/>
            <w:tcBorders>
              <w:top w:val="single" w:color="auto" w:sz="4" w:space="0"/>
              <w:left w:val="single" w:color="auto" w:sz="4" w:space="0"/>
              <w:bottom w:val="single" w:color="auto" w:sz="4" w:space="0"/>
              <w:right w:val="single" w:color="auto" w:sz="4" w:space="0"/>
            </w:tcBorders>
            <w:noWrap w:val="0"/>
            <w:vAlign w:val="center"/>
          </w:tcPr>
          <w:p>
            <w:pPr>
              <w:tabs>
                <w:tab w:val="left" w:pos="1800"/>
                <w:tab w:val="left" w:pos="2340"/>
              </w:tabs>
              <w:snapToGrid w:val="0"/>
              <w:spacing w:line="360" w:lineRule="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30</w:t>
            </w:r>
            <w:r>
              <w:rPr>
                <w:rFonts w:hint="eastAsia" w:ascii="宋体" w:hAnsi="宋体" w:eastAsia="宋体" w:cs="宋体"/>
                <w:b/>
                <w:bCs/>
                <w:color w:val="auto"/>
                <w:kern w:val="0"/>
                <w:sz w:val="22"/>
                <w:szCs w:val="22"/>
                <w:highlight w:val="none"/>
              </w:rPr>
              <w:t>分</w:t>
            </w:r>
          </w:p>
        </w:tc>
      </w:tr>
    </w:tbl>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（1）招标文件要求提交的与评价指标体系相关的各类有效资料，投标人如未按要求提交的，该项评分为零分。</w:t>
      </w:r>
    </w:p>
    <w:p>
      <w:pPr>
        <w:spacing w:line="360" w:lineRule="auto"/>
        <w:ind w:firstLine="440" w:firstLineChars="200"/>
        <w:rPr>
          <w:color w:val="auto"/>
          <w:sz w:val="22"/>
          <w:szCs w:val="22"/>
          <w:highlight w:val="none"/>
        </w:rPr>
      </w:pPr>
      <w:r>
        <w:rPr>
          <w:rFonts w:hint="eastAsia" w:ascii="宋体" w:hAnsi="宋体" w:eastAsia="宋体" w:cs="宋体"/>
          <w:color w:val="auto"/>
          <w:sz w:val="22"/>
          <w:szCs w:val="22"/>
          <w:highlight w:val="none"/>
        </w:rPr>
        <w:t>（2）商务得分为评委评分分值的算术平均值（四舍五入后，小数点后保留两位有效数）。</w:t>
      </w:r>
    </w:p>
    <w:p>
      <w:pPr>
        <w:pStyle w:val="252"/>
        <w:numPr>
          <w:ilvl w:val="0"/>
          <w:numId w:val="54"/>
        </w:numPr>
        <w:tabs>
          <w:tab w:val="left" w:pos="0"/>
          <w:tab w:val="left" w:pos="643"/>
          <w:tab w:val="left" w:pos="907"/>
          <w:tab w:val="left" w:pos="2552"/>
        </w:tabs>
        <w:spacing w:after="0" w:line="360" w:lineRule="auto"/>
        <w:ind w:left="2552" w:hanging="2552"/>
        <w:rPr>
          <w:rFonts w:ascii="宋体" w:hAnsi="宋体"/>
          <w:b/>
          <w:color w:val="auto"/>
          <w:sz w:val="22"/>
          <w:szCs w:val="22"/>
          <w:highlight w:val="none"/>
        </w:rPr>
      </w:pPr>
      <w:r>
        <w:rPr>
          <w:rFonts w:hint="eastAsia" w:ascii="宋体" w:hAnsi="宋体"/>
          <w:b/>
          <w:color w:val="auto"/>
          <w:sz w:val="22"/>
          <w:szCs w:val="22"/>
          <w:highlight w:val="none"/>
        </w:rPr>
        <w:t>技术评分标准：（总分：</w:t>
      </w:r>
      <w:r>
        <w:rPr>
          <w:rFonts w:hint="eastAsia" w:ascii="宋体" w:hAnsi="宋体"/>
          <w:b/>
          <w:color w:val="auto"/>
          <w:sz w:val="22"/>
          <w:szCs w:val="22"/>
          <w:highlight w:val="none"/>
          <w:lang w:val="en-US" w:eastAsia="zh-CN"/>
        </w:rPr>
        <w:t>15</w:t>
      </w:r>
      <w:r>
        <w:rPr>
          <w:rFonts w:hint="eastAsia" w:ascii="宋体" w:hAnsi="宋体"/>
          <w:b/>
          <w:color w:val="auto"/>
          <w:sz w:val="22"/>
          <w:szCs w:val="22"/>
          <w:highlight w:val="none"/>
        </w:rPr>
        <w:t>分）</w:t>
      </w:r>
    </w:p>
    <w:tbl>
      <w:tblPr>
        <w:tblStyle w:val="5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3"/>
        <w:gridCol w:w="839"/>
        <w:gridCol w:w="6381"/>
        <w:gridCol w:w="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78"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492" w:type="pct"/>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评审内容</w:t>
            </w:r>
          </w:p>
        </w:tc>
        <w:tc>
          <w:tcPr>
            <w:tcW w:w="3743" w:type="pct"/>
            <w:tcBorders>
              <w:left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c>
          <w:tcPr>
            <w:tcW w:w="486" w:type="pct"/>
            <w:tcBorders>
              <w:left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78" w:type="pct"/>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92" w:type="pct"/>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产品可靠性</w:t>
            </w:r>
          </w:p>
        </w:tc>
        <w:tc>
          <w:tcPr>
            <w:tcW w:w="37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主要对投标人所提供产品品牌、产品技术是否可靠、先进、适用、使用便利性等进行横向综合评审：</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优：产品品牌知名度高、产品技术可靠、先进、使用、使用便利性强，得3分；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良：产品品牌知名度较高、产品技术可靠、先进、使用、使用便利性良好，得2分；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一般：产品品牌知名度低、产品技术可靠、先进、使用、使用便利性一般，得1分；</w:t>
            </w:r>
          </w:p>
          <w:p>
            <w:pPr>
              <w:spacing w:line="360" w:lineRule="auto"/>
              <w:ind w:right="-34"/>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备注：提供产品彩页或产品官方网站公布数据截图或产品说明书或厂家出具的参数证明为评审依据，主要对</w:t>
            </w:r>
            <w:r>
              <w:rPr>
                <w:rFonts w:hint="eastAsia" w:ascii="宋体" w:hAnsi="宋体" w:eastAsia="宋体" w:cs="宋体"/>
                <w:color w:val="auto"/>
                <w:kern w:val="0"/>
                <w:sz w:val="22"/>
                <w:szCs w:val="22"/>
                <w:highlight w:val="none"/>
              </w:rPr>
              <w:t>第</w:t>
            </w:r>
            <w:r>
              <w:rPr>
                <w:rFonts w:hint="eastAsia" w:ascii="宋体" w:hAnsi="宋体" w:cs="宋体"/>
                <w:color w:val="auto"/>
                <w:kern w:val="0"/>
                <w:sz w:val="22"/>
                <w:szCs w:val="22"/>
                <w:highlight w:val="none"/>
                <w:lang w:val="en-US" w:eastAsia="zh-CN"/>
              </w:rPr>
              <w:t>16</w:t>
            </w:r>
            <w:r>
              <w:rPr>
                <w:rFonts w:hint="eastAsia" w:ascii="宋体" w:hAnsi="宋体" w:eastAsia="宋体" w:cs="宋体"/>
                <w:color w:val="auto"/>
                <w:kern w:val="0"/>
                <w:sz w:val="22"/>
                <w:szCs w:val="22"/>
                <w:highlight w:val="none"/>
              </w:rPr>
              <w:t>项、</w:t>
            </w:r>
            <w:r>
              <w:rPr>
                <w:rFonts w:hint="eastAsia" w:ascii="宋体" w:hAnsi="宋体" w:cs="宋体"/>
                <w:color w:val="auto"/>
                <w:kern w:val="0"/>
                <w:sz w:val="22"/>
                <w:szCs w:val="22"/>
                <w:highlight w:val="none"/>
                <w:lang w:val="en-US" w:eastAsia="zh-CN"/>
              </w:rPr>
              <w:t>27项、29</w:t>
            </w:r>
            <w:r>
              <w:rPr>
                <w:rFonts w:hint="eastAsia" w:ascii="宋体" w:hAnsi="宋体" w:eastAsia="宋体" w:cs="宋体"/>
                <w:color w:val="auto"/>
                <w:kern w:val="0"/>
                <w:sz w:val="22"/>
                <w:szCs w:val="22"/>
                <w:highlight w:val="none"/>
              </w:rPr>
              <w:t>项</w:t>
            </w:r>
            <w:r>
              <w:rPr>
                <w:rFonts w:hint="eastAsia" w:ascii="宋体" w:hAnsi="宋体" w:eastAsia="宋体" w:cs="宋体"/>
                <w:color w:val="auto"/>
                <w:sz w:val="22"/>
                <w:szCs w:val="22"/>
                <w:highlight w:val="none"/>
              </w:rPr>
              <w:t>货物的品牌</w:t>
            </w:r>
            <w:r>
              <w:rPr>
                <w:rFonts w:hint="eastAsia" w:ascii="宋体" w:hAnsi="宋体" w:cs="宋体"/>
                <w:color w:val="auto"/>
                <w:sz w:val="22"/>
                <w:szCs w:val="22"/>
                <w:highlight w:val="none"/>
                <w:lang w:val="en-US" w:eastAsia="zh-CN"/>
              </w:rPr>
              <w:t>专业性</w:t>
            </w:r>
            <w:r>
              <w:rPr>
                <w:rFonts w:hint="eastAsia" w:ascii="宋体" w:hAnsi="宋体" w:eastAsia="宋体" w:cs="宋体"/>
                <w:color w:val="auto"/>
                <w:sz w:val="22"/>
                <w:szCs w:val="22"/>
                <w:highlight w:val="none"/>
              </w:rPr>
              <w:t>、性能参数进行横向比较。</w:t>
            </w:r>
          </w:p>
        </w:tc>
        <w:tc>
          <w:tcPr>
            <w:tcW w:w="4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78" w:type="pct"/>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92" w:type="pct"/>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项目实施方案及供货计划</w:t>
            </w:r>
          </w:p>
        </w:tc>
        <w:tc>
          <w:tcPr>
            <w:tcW w:w="37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根据投标人项目管理、项目供货计划、调试、验收、售后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重点设备（MVB测试台、内燃螺栓尼龙套两用钻取机）的培训计划</w:t>
            </w:r>
            <w:r>
              <w:rPr>
                <w:rFonts w:hint="eastAsia" w:ascii="宋体" w:hAnsi="宋体" w:eastAsia="宋体" w:cs="宋体"/>
                <w:color w:val="auto"/>
                <w:sz w:val="22"/>
                <w:szCs w:val="22"/>
                <w:highlight w:val="none"/>
              </w:rPr>
              <w:t>等方面采取的技术和组织措施方案进行横向综合评价：</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优：方案论述合理，全面完整，项目计划保证措施完善，可实施性强，</w:t>
            </w:r>
            <w:r>
              <w:rPr>
                <w:rFonts w:hint="eastAsia" w:ascii="宋体" w:hAnsi="宋体" w:cs="宋体"/>
                <w:color w:val="auto"/>
                <w:sz w:val="22"/>
                <w:szCs w:val="22"/>
                <w:highlight w:val="none"/>
                <w:lang w:val="en-US" w:eastAsia="zh-CN"/>
              </w:rPr>
              <w:t>培训计划合理、人员安排充分</w:t>
            </w:r>
            <w:r>
              <w:rPr>
                <w:rFonts w:hint="eastAsia" w:ascii="宋体" w:hAnsi="宋体" w:eastAsia="宋体" w:cs="宋体"/>
                <w:color w:val="auto"/>
                <w:sz w:val="22"/>
                <w:szCs w:val="22"/>
                <w:highlight w:val="none"/>
              </w:rPr>
              <w:t>得2分；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良：方案论述较合理，内容较完整，可实施性良好，项目计划保证措施较完善，</w:t>
            </w:r>
            <w:r>
              <w:rPr>
                <w:rFonts w:hint="eastAsia" w:ascii="宋体" w:hAnsi="宋体" w:cs="宋体"/>
                <w:color w:val="auto"/>
                <w:sz w:val="22"/>
                <w:szCs w:val="22"/>
                <w:highlight w:val="none"/>
                <w:lang w:val="en-US" w:eastAsia="zh-CN"/>
              </w:rPr>
              <w:t>培训计划合理、人员安排一般</w:t>
            </w:r>
            <w:r>
              <w:rPr>
                <w:rFonts w:hint="eastAsia" w:ascii="宋体" w:hAnsi="宋体" w:eastAsia="宋体" w:cs="宋体"/>
                <w:color w:val="auto"/>
                <w:sz w:val="22"/>
                <w:szCs w:val="22"/>
                <w:highlight w:val="none"/>
              </w:rPr>
              <w:t>得1分；</w:t>
            </w:r>
          </w:p>
          <w:p>
            <w:pPr>
              <w:spacing w:line="360" w:lineRule="auto"/>
              <w:ind w:right="-3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差：无项目实施方案或方案论述逻辑混乱，内容较零散、片面，可实施性较差，</w:t>
            </w:r>
            <w:r>
              <w:rPr>
                <w:rFonts w:hint="eastAsia" w:ascii="宋体" w:hAnsi="宋体" w:cs="宋体"/>
                <w:color w:val="auto"/>
                <w:sz w:val="22"/>
                <w:szCs w:val="22"/>
                <w:highlight w:val="none"/>
                <w:lang w:val="en-US" w:eastAsia="zh-CN"/>
              </w:rPr>
              <w:t>无明确的培训计划安排</w:t>
            </w:r>
            <w:r>
              <w:rPr>
                <w:rFonts w:hint="eastAsia" w:ascii="宋体" w:hAnsi="宋体" w:eastAsia="宋体" w:cs="宋体"/>
                <w:color w:val="auto"/>
                <w:sz w:val="22"/>
                <w:szCs w:val="22"/>
                <w:highlight w:val="none"/>
              </w:rPr>
              <w:t>得0分。</w:t>
            </w:r>
          </w:p>
        </w:tc>
        <w:tc>
          <w:tcPr>
            <w:tcW w:w="4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78" w:type="pct"/>
            <w:vMerge w:val="restart"/>
            <w:tcBorders>
              <w:left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92" w:type="pct"/>
            <w:vMerge w:val="restart"/>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质量保证措施及承诺</w:t>
            </w:r>
          </w:p>
        </w:tc>
        <w:tc>
          <w:tcPr>
            <w:tcW w:w="37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对投标人所提供的产品渠道及质量保证措施，以及产品流通阶段的质量控制措施和可行性进行综合评审：</w:t>
            </w:r>
          </w:p>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优：质量保证措施和质量控制措施方案全面完善，可行性高，得2分；</w:t>
            </w:r>
          </w:p>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良：质量保证措施和质量控制措施方案内容较完整，可行性良好，得1分；</w:t>
            </w:r>
          </w:p>
          <w:p>
            <w:pPr>
              <w:spacing w:line="360" w:lineRule="auto"/>
              <w:ind w:firstLine="44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差：无质量保证措施或质量控制措施方案可行性差、内容不完整，得0分。</w:t>
            </w:r>
          </w:p>
        </w:tc>
        <w:tc>
          <w:tcPr>
            <w:tcW w:w="4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78" w:type="pct"/>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492" w:type="pct"/>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743"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在售后计划书中承诺：在1年基本质保期基础上，延长2年质保期（总质保期3年），并对产品实现三包，即：包修、包换、包退，如产品3年内有质量问题，免费更换的，得8分；在1年基本质保期基础上，延长1年质保期（总质保期2年），并对产品实现三包，即：包修、包换、包退，得4分；仅提供一年质保期，并对产品实现三包，即：包修、包换、包退，得1分；</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（此承诺需写进售后计划方案，并以此承诺写入合同条款中。</w:t>
            </w:r>
          </w:p>
        </w:tc>
        <w:tc>
          <w:tcPr>
            <w:tcW w:w="4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513"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1800"/>
                <w:tab w:val="left" w:pos="2340"/>
              </w:tabs>
              <w:snapToGrid w:val="0"/>
              <w:spacing w:line="360" w:lineRule="auto"/>
              <w:ind w:firstLine="434"/>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合计</w:t>
            </w:r>
          </w:p>
        </w:tc>
        <w:tc>
          <w:tcPr>
            <w:tcW w:w="486" w:type="pct"/>
            <w:tcBorders>
              <w:top w:val="single" w:color="auto" w:sz="4" w:space="0"/>
              <w:left w:val="single" w:color="auto" w:sz="4" w:space="0"/>
              <w:bottom w:val="single" w:color="auto" w:sz="4" w:space="0"/>
              <w:right w:val="single" w:color="auto" w:sz="4" w:space="0"/>
            </w:tcBorders>
            <w:noWrap w:val="0"/>
            <w:vAlign w:val="center"/>
          </w:tcPr>
          <w:p>
            <w:pPr>
              <w:tabs>
                <w:tab w:val="left" w:pos="1800"/>
                <w:tab w:val="left" w:pos="2340"/>
              </w:tabs>
              <w:snapToGrid w:val="0"/>
              <w:spacing w:line="360" w:lineRule="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15</w:t>
            </w:r>
            <w:r>
              <w:rPr>
                <w:rFonts w:hint="eastAsia" w:ascii="宋体" w:hAnsi="宋体" w:eastAsia="宋体" w:cs="宋体"/>
                <w:b/>
                <w:bCs/>
                <w:color w:val="auto"/>
                <w:kern w:val="0"/>
                <w:sz w:val="22"/>
                <w:szCs w:val="22"/>
                <w:highlight w:val="none"/>
              </w:rPr>
              <w:t>分</w:t>
            </w:r>
          </w:p>
        </w:tc>
      </w:tr>
    </w:tbl>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（1）招标文件要求提交的与评价指标体系相关的各类有效资料，投标人如未按要求提交的，该项评分为零分。</w:t>
      </w:r>
    </w:p>
    <w:p>
      <w:pPr>
        <w:spacing w:line="360" w:lineRule="auto"/>
        <w:ind w:firstLine="440" w:firstLineChars="200"/>
        <w:rPr>
          <w:color w:val="auto"/>
          <w:sz w:val="22"/>
          <w:szCs w:val="22"/>
          <w:highlight w:val="none"/>
        </w:rPr>
      </w:pPr>
      <w:r>
        <w:rPr>
          <w:rFonts w:hint="eastAsia" w:ascii="宋体" w:hAnsi="宋体" w:eastAsia="宋体" w:cs="宋体"/>
          <w:color w:val="auto"/>
          <w:sz w:val="22"/>
          <w:szCs w:val="22"/>
          <w:highlight w:val="none"/>
        </w:rPr>
        <w:t>（2）技术得分为评委评分分值的算术平均值（四舍五入后，小数点后保留两位有效数）。</w:t>
      </w:r>
    </w:p>
    <w:p>
      <w:pPr>
        <w:pStyle w:val="252"/>
        <w:numPr>
          <w:ilvl w:val="0"/>
          <w:numId w:val="54"/>
        </w:numPr>
        <w:tabs>
          <w:tab w:val="left" w:pos="0"/>
          <w:tab w:val="left" w:pos="643"/>
          <w:tab w:val="left" w:pos="907"/>
          <w:tab w:val="left" w:pos="2552"/>
        </w:tabs>
        <w:spacing w:after="0" w:line="360" w:lineRule="auto"/>
        <w:ind w:left="2552" w:hanging="2552"/>
        <w:rPr>
          <w:rFonts w:ascii="宋体" w:hAnsi="宋体"/>
          <w:b/>
          <w:color w:val="auto"/>
          <w:sz w:val="22"/>
          <w:szCs w:val="22"/>
          <w:highlight w:val="none"/>
        </w:rPr>
      </w:pPr>
      <w:r>
        <w:rPr>
          <w:rFonts w:ascii="宋体" w:hAnsi="宋体"/>
          <w:b/>
          <w:color w:val="auto"/>
          <w:sz w:val="22"/>
          <w:szCs w:val="22"/>
          <w:highlight w:val="none"/>
        </w:rPr>
        <w:t>价格评分标准：（总分：</w:t>
      </w:r>
      <w:r>
        <w:rPr>
          <w:rFonts w:hint="eastAsia" w:ascii="宋体" w:hAnsi="宋体"/>
          <w:b/>
          <w:color w:val="auto"/>
          <w:sz w:val="22"/>
          <w:szCs w:val="22"/>
          <w:highlight w:val="none"/>
          <w:lang w:val="en-US" w:eastAsia="zh-CN"/>
        </w:rPr>
        <w:t>55</w:t>
      </w:r>
      <w:r>
        <w:rPr>
          <w:rFonts w:ascii="宋体" w:hAnsi="宋体"/>
          <w:b/>
          <w:color w:val="auto"/>
          <w:sz w:val="22"/>
          <w:szCs w:val="22"/>
          <w:highlight w:val="none"/>
        </w:rPr>
        <w:t>分）</w:t>
      </w:r>
    </w:p>
    <w:p>
      <w:pPr>
        <w:pStyle w:val="116"/>
        <w:numPr>
          <w:ilvl w:val="0"/>
          <w:numId w:val="55"/>
        </w:numPr>
        <w:spacing w:line="360" w:lineRule="auto"/>
        <w:ind w:left="851" w:hanging="845" w:firstLineChars="0"/>
        <w:rPr>
          <w:rFonts w:ascii="宋体" w:hAnsi="宋体"/>
          <w:bCs/>
          <w:color w:val="auto"/>
          <w:sz w:val="22"/>
          <w:szCs w:val="22"/>
          <w:highlight w:val="none"/>
        </w:rPr>
      </w:pPr>
      <w:r>
        <w:rPr>
          <w:rFonts w:hint="eastAsia" w:ascii="宋体" w:hAnsi="宋体"/>
          <w:bCs/>
          <w:color w:val="auto"/>
          <w:sz w:val="22"/>
          <w:szCs w:val="22"/>
          <w:highlight w:val="none"/>
        </w:rPr>
        <w:t>综合评分法中的价格分统一采用低价优先法计算，即满足招标文件要求（通过资格性、 符合性审查）且投标价格最低的有效投标报价（指修正后报价，下同）为评标基准价，其价格分为满分。各投标人的价格分统一按照下列公式计算：</w:t>
      </w:r>
    </w:p>
    <w:p>
      <w:pPr>
        <w:spacing w:line="360" w:lineRule="auto"/>
        <w:ind w:left="850" w:leftChars="405"/>
        <w:rPr>
          <w:rFonts w:ascii="宋体" w:hAnsi="宋体"/>
          <w:bCs/>
          <w:color w:val="auto"/>
          <w:sz w:val="22"/>
          <w:szCs w:val="22"/>
          <w:highlight w:val="none"/>
        </w:rPr>
      </w:pPr>
      <w:r>
        <w:rPr>
          <w:rFonts w:hint="eastAsia" w:ascii="宋体" w:hAnsi="宋体"/>
          <w:bCs/>
          <w:color w:val="auto"/>
          <w:sz w:val="22"/>
          <w:szCs w:val="22"/>
          <w:highlight w:val="none"/>
        </w:rPr>
        <w:t>价格得分＝（评标基准价/评标价）×价格分值</w:t>
      </w:r>
    </w:p>
    <w:p>
      <w:pPr>
        <w:spacing w:line="360" w:lineRule="auto"/>
        <w:ind w:firstLine="849" w:firstLineChars="386"/>
        <w:rPr>
          <w:rFonts w:ascii="宋体" w:hAnsi="宋体"/>
          <w:bCs/>
          <w:color w:val="auto"/>
          <w:sz w:val="22"/>
          <w:szCs w:val="22"/>
          <w:highlight w:val="none"/>
        </w:rPr>
      </w:pPr>
      <w:r>
        <w:rPr>
          <w:rFonts w:hint="eastAsia" w:ascii="宋体" w:hAnsi="宋体"/>
          <w:bCs/>
          <w:color w:val="auto"/>
          <w:sz w:val="22"/>
          <w:szCs w:val="22"/>
          <w:highlight w:val="none"/>
        </w:rPr>
        <w:t>评标价：按招标文件规定条款的原则校核修正后的价格；</w:t>
      </w:r>
    </w:p>
    <w:p>
      <w:pPr>
        <w:spacing w:line="360" w:lineRule="auto"/>
        <w:ind w:firstLine="849" w:firstLineChars="386"/>
        <w:rPr>
          <w:rFonts w:ascii="宋体" w:hAnsi="宋体"/>
          <w:bCs/>
          <w:color w:val="auto"/>
          <w:sz w:val="22"/>
          <w:szCs w:val="22"/>
          <w:highlight w:val="none"/>
        </w:rPr>
      </w:pPr>
      <w:r>
        <w:rPr>
          <w:rFonts w:hint="eastAsia" w:ascii="宋体" w:hAnsi="宋体"/>
          <w:bCs/>
          <w:color w:val="auto"/>
          <w:sz w:val="22"/>
          <w:szCs w:val="22"/>
          <w:highlight w:val="none"/>
        </w:rPr>
        <w:t>评标基准价：各有效投标人的最低评标价。</w:t>
      </w:r>
    </w:p>
    <w:p>
      <w:pPr>
        <w:pStyle w:val="116"/>
        <w:numPr>
          <w:ilvl w:val="0"/>
          <w:numId w:val="55"/>
        </w:numPr>
        <w:spacing w:line="360" w:lineRule="auto"/>
        <w:ind w:left="851" w:hanging="845" w:firstLineChars="0"/>
        <w:rPr>
          <w:rFonts w:ascii="宋体" w:hAnsi="宋体" w:cs="宋体"/>
          <w:bCs/>
          <w:color w:val="auto"/>
          <w:sz w:val="22"/>
          <w:szCs w:val="22"/>
          <w:highlight w:val="none"/>
        </w:rPr>
      </w:pPr>
      <w:r>
        <w:rPr>
          <w:rFonts w:hint="eastAsia" w:ascii="宋体" w:hAnsi="宋体" w:cs="宋体"/>
          <w:bCs/>
          <w:color w:val="auto"/>
          <w:sz w:val="22"/>
          <w:szCs w:val="22"/>
          <w:highlight w:val="none"/>
        </w:rPr>
        <w:t>价格核准：评标委员会详细分析、核准价格表，检查其是否存在计算上或累加上的算术错误，对于投标文件中不构成实质性偏差的不正规、不一致或不规则，评标委员会可以接受，但</w:t>
      </w:r>
      <w:r>
        <w:rPr>
          <w:rFonts w:hint="eastAsia" w:ascii="Times New Roman" w:hAnsi="Times New Roman"/>
          <w:color w:val="auto"/>
          <w:sz w:val="22"/>
          <w:szCs w:val="22"/>
          <w:highlight w:val="none"/>
        </w:rPr>
        <w:t>这种</w:t>
      </w:r>
      <w:r>
        <w:rPr>
          <w:rFonts w:hint="eastAsia" w:ascii="宋体" w:hAnsi="宋体" w:cs="宋体"/>
          <w:bCs/>
          <w:color w:val="auto"/>
          <w:sz w:val="22"/>
          <w:szCs w:val="22"/>
          <w:highlight w:val="none"/>
        </w:rPr>
        <w:t>接受不能损害或影响任何投标人的相对排序。如果投标人不接受修正后的投标价格，则其投标将被拒绝。</w:t>
      </w:r>
    </w:p>
    <w:p>
      <w:pPr>
        <w:pStyle w:val="116"/>
        <w:numPr>
          <w:ilvl w:val="0"/>
          <w:numId w:val="55"/>
        </w:numPr>
        <w:spacing w:line="360" w:lineRule="auto"/>
        <w:ind w:left="851" w:hanging="845" w:firstLineChars="0"/>
        <w:rPr>
          <w:rFonts w:ascii="宋体" w:hAnsi="宋体" w:cs="宋体"/>
          <w:bCs/>
          <w:color w:val="auto"/>
          <w:sz w:val="22"/>
          <w:szCs w:val="22"/>
          <w:highlight w:val="none"/>
        </w:rPr>
      </w:pPr>
      <w:r>
        <w:rPr>
          <w:rFonts w:hint="eastAsia" w:ascii="宋体" w:hAnsi="宋体" w:cs="宋体"/>
          <w:bCs/>
          <w:color w:val="auto"/>
          <w:sz w:val="22"/>
          <w:szCs w:val="22"/>
          <w:highlight w:val="none"/>
        </w:rPr>
        <w:t>评标委员会对投标人的投标报价进行评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52"/>
        <w:keepNext w:val="0"/>
        <w:tabs>
          <w:tab w:val="left" w:pos="0"/>
        </w:tabs>
        <w:spacing w:after="0" w:line="360" w:lineRule="auto"/>
        <w:rPr>
          <w:rFonts w:eastAsia="宋体"/>
          <w:color w:val="auto"/>
          <w:highlight w:val="none"/>
        </w:rPr>
      </w:pPr>
      <w:bookmarkStart w:id="177" w:name="_Toc441844109"/>
    </w:p>
    <w:p>
      <w:pPr>
        <w:rPr>
          <w:color w:val="auto"/>
          <w:highlight w:val="none"/>
        </w:rPr>
      </w:pPr>
      <w:r>
        <w:rPr>
          <w:rFonts w:ascii="Times New Roman" w:hAnsi="Times New Roman"/>
          <w:color w:val="auto"/>
          <w:sz w:val="36"/>
          <w:szCs w:val="36"/>
          <w:highlight w:val="none"/>
        </w:rPr>
        <w:br w:type="page"/>
      </w:r>
    </w:p>
    <w:p>
      <w:pPr>
        <w:widowControl/>
        <w:jc w:val="left"/>
        <w:rPr>
          <w:rFonts w:ascii="Times New Roman" w:hAnsi="Times New Roman"/>
          <w:color w:val="auto"/>
          <w:sz w:val="36"/>
          <w:szCs w:val="36"/>
          <w:highlight w:val="none"/>
        </w:rPr>
      </w:pPr>
    </w:p>
    <w:p>
      <w:pPr>
        <w:pStyle w:val="3"/>
        <w:jc w:val="center"/>
        <w:rPr>
          <w:rFonts w:ascii="Times New Roman" w:hAnsi="Times New Roman"/>
          <w:color w:val="auto"/>
          <w:sz w:val="22"/>
          <w:szCs w:val="22"/>
          <w:highlight w:val="none"/>
        </w:rPr>
      </w:pPr>
      <w:bookmarkStart w:id="178" w:name="_Toc61529861"/>
      <w:r>
        <w:rPr>
          <w:rFonts w:ascii="Times New Roman" w:hAnsi="Times New Roman" w:eastAsia="宋体"/>
          <w:color w:val="auto"/>
          <w:highlight w:val="none"/>
        </w:rPr>
        <w:t>第四章 用户需求书</w:t>
      </w:r>
      <w:bookmarkEnd w:id="177"/>
      <w:bookmarkEnd w:id="178"/>
      <w:r>
        <w:rPr>
          <w:color w:val="auto"/>
          <w:highlight w:val="none"/>
        </w:rPr>
        <w:br w:type="page"/>
      </w:r>
      <w:bookmarkStart w:id="179" w:name="_Toc61529862"/>
      <w:r>
        <w:rPr>
          <w:rFonts w:hint="eastAsia" w:ascii="Times New Roman" w:hAnsi="Times New Roman"/>
          <w:color w:val="auto"/>
          <w:sz w:val="22"/>
          <w:szCs w:val="22"/>
          <w:highlight w:val="none"/>
        </w:rPr>
        <w:t>用户需求</w:t>
      </w:r>
      <w:bookmarkEnd w:id="179"/>
    </w:p>
    <w:tbl>
      <w:tblPr>
        <w:tblStyle w:val="51"/>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41"/>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341" w:type="pct"/>
            <w:noWrap w:val="0"/>
            <w:vAlign w:val="center"/>
          </w:tcPr>
          <w:p>
            <w:pPr>
              <w:spacing w:line="360" w:lineRule="auto"/>
              <w:jc w:val="center"/>
              <w:rPr>
                <w:rFonts w:ascii="宋体" w:hAnsi="宋体"/>
                <w:b/>
                <w:color w:val="auto"/>
                <w:sz w:val="22"/>
                <w:szCs w:val="22"/>
                <w:highlight w:val="none"/>
              </w:rPr>
            </w:pPr>
            <w:r>
              <w:rPr>
                <w:rFonts w:ascii="宋体" w:hAnsi="宋体"/>
                <w:b/>
                <w:color w:val="auto"/>
                <w:sz w:val="22"/>
                <w:szCs w:val="22"/>
                <w:highlight w:val="none"/>
              </w:rPr>
              <w:t>需求名称</w:t>
            </w:r>
          </w:p>
        </w:tc>
        <w:tc>
          <w:tcPr>
            <w:tcW w:w="3658" w:type="pct"/>
            <w:noWrap w:val="0"/>
            <w:vAlign w:val="center"/>
          </w:tcPr>
          <w:p>
            <w:pPr>
              <w:spacing w:line="360" w:lineRule="auto"/>
              <w:jc w:val="center"/>
              <w:rPr>
                <w:rFonts w:ascii="宋体" w:hAnsi="宋体"/>
                <w:b/>
                <w:color w:val="auto"/>
                <w:sz w:val="22"/>
                <w:szCs w:val="22"/>
                <w:highlight w:val="none"/>
              </w:rPr>
            </w:pPr>
            <w:r>
              <w:rPr>
                <w:rFonts w:ascii="宋体" w:hAnsi="宋体"/>
                <w:b/>
                <w:color w:val="auto"/>
                <w:sz w:val="22"/>
                <w:szCs w:val="22"/>
                <w:highlight w:val="none"/>
              </w:rPr>
              <w:t>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★交货期</w:t>
            </w:r>
          </w:p>
        </w:tc>
        <w:tc>
          <w:tcPr>
            <w:tcW w:w="3658" w:type="pct"/>
            <w:noWrap w:val="0"/>
            <w:vAlign w:val="center"/>
          </w:tcPr>
          <w:p>
            <w:pPr>
              <w:spacing w:line="240" w:lineRule="auto"/>
              <w:rPr>
                <w:rFonts w:ascii="宋体" w:hAnsi="宋体"/>
                <w:color w:val="auto"/>
                <w:sz w:val="22"/>
                <w:szCs w:val="22"/>
                <w:highlight w:val="none"/>
                <w:lang w:val="zh-CN"/>
              </w:rPr>
            </w:pPr>
            <w:r>
              <w:rPr>
                <w:rFonts w:hint="eastAsia" w:ascii="宋体" w:hAnsi="宋体"/>
                <w:color w:val="auto"/>
                <w:sz w:val="22"/>
                <w:szCs w:val="22"/>
                <w:highlight w:val="none"/>
                <w:lang w:val="zh-CN"/>
              </w:rPr>
              <w:t>自合同签订之日起</w:t>
            </w:r>
            <w:r>
              <w:rPr>
                <w:rFonts w:hint="eastAsia" w:ascii="宋体" w:hAnsi="宋体"/>
                <w:color w:val="auto"/>
                <w:sz w:val="22"/>
                <w:szCs w:val="22"/>
                <w:highlight w:val="none"/>
                <w:lang w:val="en-US" w:eastAsia="zh-CN"/>
              </w:rPr>
              <w:t>（</w:t>
            </w:r>
            <w:r>
              <w:rPr>
                <w:rFonts w:hint="eastAsia" w:ascii="宋体" w:hAnsi="宋体" w:cs="宋体"/>
                <w:color w:val="auto"/>
                <w:sz w:val="22"/>
                <w:szCs w:val="22"/>
                <w:highlight w:val="none"/>
                <w:lang w:val="en-US" w:eastAsia="zh-CN"/>
              </w:rPr>
              <w:t>参照用户需求书规定，最长不超过90个日历日）</w:t>
            </w:r>
            <w:r>
              <w:rPr>
                <w:rFonts w:hint="eastAsia" w:ascii="宋体" w:hAnsi="宋体"/>
                <w:color w:val="auto"/>
                <w:sz w:val="22"/>
                <w:szCs w:val="22"/>
                <w:highlight w:val="none"/>
                <w:lang w:val="zh-CN"/>
              </w:rPr>
              <w:t>内完成设备供货、安装、调试并试运行。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报价</w:t>
            </w:r>
            <w:r>
              <w:rPr>
                <w:rFonts w:hint="eastAsia" w:ascii="宋体" w:hAnsi="宋体"/>
                <w:color w:val="auto"/>
                <w:sz w:val="22"/>
                <w:szCs w:val="22"/>
                <w:highlight w:val="none"/>
              </w:rPr>
              <w:t>方式</w:t>
            </w:r>
          </w:p>
        </w:tc>
        <w:tc>
          <w:tcPr>
            <w:tcW w:w="3658" w:type="pct"/>
            <w:noWrap w:val="0"/>
            <w:vAlign w:val="center"/>
          </w:tcPr>
          <w:p>
            <w:pPr>
              <w:spacing w:line="360" w:lineRule="auto"/>
              <w:rPr>
                <w:rFonts w:hint="eastAsia" w:ascii="宋体" w:hAnsi="宋体" w:cs="Times New Roman"/>
                <w:color w:val="auto"/>
                <w:sz w:val="22"/>
                <w:szCs w:val="22"/>
                <w:highlight w:val="none"/>
                <w:lang w:val="zh-CN"/>
              </w:rPr>
            </w:pPr>
            <w:r>
              <w:rPr>
                <w:rFonts w:hint="eastAsia" w:ascii="宋体" w:hAnsi="宋体" w:cs="Times New Roman"/>
                <w:color w:val="auto"/>
                <w:sz w:val="22"/>
                <w:szCs w:val="22"/>
                <w:highlight w:val="none"/>
                <w:lang w:val="zh-CN"/>
              </w:rPr>
              <w:t>1.报价应包含完成全部用户需求书内容的含税人民币价格。包括但不限于：设计、生产、随机零配件、包装、运输、装卸、保险、技术服务、检验检测、培训、质保期服务、售后期服务等发生的所有可预见和不可预见的费用及一切税费。货物运输过程以及现场保管所产生的全部费用。</w:t>
            </w:r>
          </w:p>
          <w:p>
            <w:pPr>
              <w:spacing w:line="360" w:lineRule="auto"/>
              <w:rPr>
                <w:rFonts w:hint="eastAsia" w:ascii="宋体" w:hAnsi="宋体" w:cs="Times New Roman"/>
                <w:color w:val="auto"/>
                <w:sz w:val="22"/>
                <w:szCs w:val="22"/>
                <w:highlight w:val="none"/>
                <w:lang w:val="zh-CN"/>
              </w:rPr>
            </w:pPr>
            <w:r>
              <w:rPr>
                <w:rFonts w:hint="eastAsia" w:ascii="宋体" w:hAnsi="宋体" w:cs="Times New Roman"/>
                <w:color w:val="auto"/>
                <w:sz w:val="22"/>
                <w:szCs w:val="22"/>
                <w:highlight w:val="none"/>
                <w:lang w:val="zh-CN"/>
              </w:rPr>
              <w:t>2.投标报价应包括国家规定的所有税费及与项目相关的所有费用。</w:t>
            </w:r>
          </w:p>
          <w:p>
            <w:pPr>
              <w:spacing w:line="360" w:lineRule="auto"/>
              <w:rPr>
                <w:rFonts w:hint="eastAsia" w:ascii="宋体" w:hAnsi="宋体" w:cs="Times New Roman"/>
                <w:color w:val="auto"/>
                <w:sz w:val="22"/>
                <w:szCs w:val="22"/>
                <w:highlight w:val="none"/>
                <w:lang w:val="zh-CN"/>
              </w:rPr>
            </w:pPr>
            <w:r>
              <w:rPr>
                <w:rFonts w:hint="eastAsia" w:ascii="宋体" w:hAnsi="宋体" w:cs="Times New Roman"/>
                <w:color w:val="auto"/>
                <w:sz w:val="22"/>
                <w:szCs w:val="22"/>
                <w:highlight w:val="none"/>
                <w:lang w:val="zh-CN"/>
              </w:rPr>
              <w:t>3.投标人应以人民币为结算单位。</w:t>
            </w:r>
          </w:p>
          <w:p>
            <w:pPr>
              <w:spacing w:line="360" w:lineRule="auto"/>
              <w:rPr>
                <w:rFonts w:ascii="宋体" w:hAnsi="宋体"/>
                <w:color w:val="auto"/>
                <w:sz w:val="22"/>
                <w:szCs w:val="22"/>
                <w:highlight w:val="none"/>
                <w:lang w:val="zh-CN"/>
              </w:rPr>
            </w:pPr>
            <w:r>
              <w:rPr>
                <w:rFonts w:hint="eastAsia" w:ascii="宋体" w:hAnsi="宋体" w:cs="Times New Roman"/>
                <w:color w:val="auto"/>
                <w:sz w:val="22"/>
                <w:szCs w:val="22"/>
                <w:highlight w:val="none"/>
                <w:lang w:val="en-US" w:eastAsia="zh-CN"/>
              </w:rPr>
              <w:t>4.</w:t>
            </w:r>
            <w:r>
              <w:rPr>
                <w:rFonts w:hint="eastAsia" w:ascii="宋体" w:hAnsi="宋体" w:cs="Times New Roman"/>
                <w:color w:val="auto"/>
                <w:sz w:val="22"/>
                <w:szCs w:val="22"/>
                <w:highlight w:val="none"/>
                <w:lang w:val="zh-CN"/>
              </w:rPr>
              <w:t>投标报价超出采购预算金额的投标为无效标。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★付款方法和条件</w:t>
            </w:r>
          </w:p>
        </w:tc>
        <w:tc>
          <w:tcPr>
            <w:tcW w:w="3658" w:type="pct"/>
            <w:noWrap w:val="0"/>
            <w:vAlign w:val="center"/>
          </w:tcPr>
          <w:p>
            <w:pPr>
              <w:numPr>
                <w:ilvl w:val="0"/>
                <w:numId w:val="56"/>
              </w:numPr>
              <w:adjustRightInd w:val="0"/>
              <w:snapToGrid w:val="0"/>
              <w:spacing w:line="360" w:lineRule="auto"/>
              <w:ind w:left="200" w:hanging="200" w:hangingChars="100"/>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合同签订后，根据采购人供货通知，中标人完成批次货物交付并验收合格，采购人在收到由中标人提供的以下材料并经甲方审核无误后40个工作日内支付至该批货物货款总额的100%</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（1）中标人开具的金额为按本批次货物总价百分之一百(100%)的增值税专用发票一份，发票抬头为</w:t>
            </w:r>
            <w:r>
              <w:rPr>
                <w:rFonts w:hint="eastAsia" w:ascii="宋体" w:hAnsi="宋体" w:eastAsia="宋体" w:cs="宋体"/>
                <w:color w:val="auto"/>
                <w:kern w:val="0"/>
                <w:sz w:val="22"/>
                <w:szCs w:val="22"/>
                <w:highlight w:val="none"/>
                <w:u w:val="single"/>
              </w:rPr>
              <w:t>东莞市轨道交通有限公司</w:t>
            </w:r>
            <w:r>
              <w:rPr>
                <w:rFonts w:hint="eastAsia" w:ascii="宋体" w:hAnsi="宋体" w:eastAsia="宋体" w:cs="宋体"/>
                <w:color w:val="auto"/>
                <w:kern w:val="0"/>
                <w:sz w:val="22"/>
                <w:szCs w:val="22"/>
                <w:highlight w:val="none"/>
              </w:rPr>
              <w:t>。</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（2）中标人出具的支付申请一份。</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（3）货物到货签收单及验收合格证明一份。</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尾款（质保金）支付：质保期满后，经采购人确认产品均无质量问题或中标人已更换有质量问题产品经采购人确认合格后，采购人在收到中标人提供的以下材料并经采购人审核无误后40个工作日内支付结算总额的剩余价款。中标人须提供：</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a.中标人开具的金额为按本次支付金额百分之一百(100%)的质保金收据一份。</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b.中标人出具的支付申请一份。</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c.通过最终验收证明材料一份。</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涉税条款</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（1）中标人提供的增值税发票应符合税法法规规定且内容无误。</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（2）中标人提供增值税专用发票时应书面签收，由于中标人未及时提交增值税专用发票，导致采购人未在税法法规规定的认证期内认证进项税额的，采购人将有权退票。</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（3）如果发生按照税务规定应开具红字发票的情形，中标人将在双方确认后30日内向中标人开具符合税务规定的红字发票，开票后10日内送达采购人签收。</w:t>
            </w:r>
          </w:p>
          <w:p>
            <w:pPr>
              <w:spacing w:line="360" w:lineRule="auto"/>
              <w:rPr>
                <w:rFonts w:ascii="宋体" w:hAnsi="宋体"/>
                <w:color w:val="auto"/>
                <w:sz w:val="22"/>
                <w:szCs w:val="22"/>
                <w:highlight w:val="none"/>
              </w:rPr>
            </w:pPr>
            <w:r>
              <w:rPr>
                <w:rFonts w:hint="eastAsia" w:ascii="宋体" w:hAnsi="宋体" w:eastAsia="宋体" w:cs="宋体"/>
                <w:color w:val="auto"/>
                <w:sz w:val="22"/>
                <w:szCs w:val="22"/>
                <w:highlight w:val="none"/>
              </w:rPr>
              <w:t>（（4）如采购人发生被税务机关稽查、调查、质询等税务检查事项需中标人配合的，中标人应按照采购人要求予以配合。如中标人发生被税务机关稽查、调查、质询等税务检查事项涉及采购人业务的，应在知悉后3日内书面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投标有效期</w:t>
            </w:r>
          </w:p>
        </w:tc>
        <w:tc>
          <w:tcPr>
            <w:tcW w:w="3658" w:type="pct"/>
            <w:noWrap w:val="0"/>
            <w:vAlign w:val="center"/>
          </w:tcPr>
          <w:p>
            <w:pPr>
              <w:spacing w:line="360" w:lineRule="auto"/>
              <w:rPr>
                <w:rFonts w:ascii="宋体" w:hAnsi="宋体"/>
                <w:color w:val="auto"/>
                <w:sz w:val="22"/>
                <w:szCs w:val="22"/>
                <w:highlight w:val="none"/>
                <w:lang w:val="zh-CN"/>
              </w:rPr>
            </w:pPr>
            <w:r>
              <w:rPr>
                <w:rFonts w:ascii="宋体" w:hAnsi="宋体"/>
                <w:color w:val="auto"/>
                <w:sz w:val="22"/>
                <w:szCs w:val="22"/>
                <w:highlight w:val="none"/>
                <w:lang w:val="zh-CN"/>
              </w:rPr>
              <w:t>自开标日起</w:t>
            </w:r>
            <w:r>
              <w:rPr>
                <w:rFonts w:hint="eastAsia" w:ascii="宋体" w:hAnsi="宋体"/>
                <w:color w:val="auto"/>
                <w:sz w:val="22"/>
                <w:szCs w:val="22"/>
                <w:highlight w:val="none"/>
                <w:lang w:val="en-US" w:eastAsia="zh-CN"/>
              </w:rPr>
              <w:t>120</w:t>
            </w:r>
            <w:r>
              <w:rPr>
                <w:rFonts w:ascii="宋体" w:hAnsi="宋体"/>
                <w:color w:val="auto"/>
                <w:sz w:val="22"/>
                <w:szCs w:val="22"/>
                <w:highlight w:val="none"/>
                <w:lang w:val="zh-CN"/>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合同签订</w:t>
            </w:r>
          </w:p>
        </w:tc>
        <w:tc>
          <w:tcPr>
            <w:tcW w:w="3658" w:type="pct"/>
            <w:noWrap w:val="0"/>
            <w:vAlign w:val="center"/>
          </w:tcPr>
          <w:p>
            <w:pPr>
              <w:spacing w:line="360" w:lineRule="auto"/>
              <w:rPr>
                <w:rFonts w:ascii="宋体" w:hAnsi="宋体"/>
                <w:color w:val="auto"/>
                <w:sz w:val="22"/>
                <w:szCs w:val="22"/>
                <w:highlight w:val="none"/>
                <w:lang w:val="zh-CN"/>
              </w:rPr>
            </w:pPr>
            <w:r>
              <w:rPr>
                <w:rFonts w:hint="eastAsia" w:ascii="宋体" w:hAnsi="宋体"/>
                <w:color w:val="auto"/>
                <w:szCs w:val="21"/>
                <w:highlight w:val="none"/>
              </w:rPr>
              <w:t>本项目由东莞市轨道交通有限公司与中标人签订合同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合同条款</w:t>
            </w:r>
          </w:p>
        </w:tc>
        <w:tc>
          <w:tcPr>
            <w:tcW w:w="3658" w:type="pct"/>
            <w:noWrap w:val="0"/>
            <w:vAlign w:val="center"/>
          </w:tcPr>
          <w:p>
            <w:pPr>
              <w:spacing w:line="360" w:lineRule="auto"/>
              <w:rPr>
                <w:rFonts w:ascii="宋体" w:hAnsi="宋体"/>
                <w:color w:val="auto"/>
                <w:sz w:val="22"/>
                <w:szCs w:val="22"/>
                <w:highlight w:val="none"/>
              </w:rPr>
            </w:pPr>
            <w:r>
              <w:rPr>
                <w:rFonts w:ascii="宋体" w:hAnsi="宋体" w:cs="宋体"/>
                <w:color w:val="auto"/>
                <w:sz w:val="22"/>
                <w:szCs w:val="22"/>
                <w:highlight w:val="none"/>
              </w:rPr>
              <w:t>投标人实质响应合同各条款</w:t>
            </w:r>
            <w:r>
              <w:rPr>
                <w:rFonts w:hint="eastAsia" w:ascii="宋体" w:hAnsi="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CellSpacing w:w="0" w:type="dxa"/>
        </w:trPr>
        <w:tc>
          <w:tcPr>
            <w:tcW w:w="1341" w:type="pct"/>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重要说明</w:t>
            </w:r>
          </w:p>
        </w:tc>
        <w:tc>
          <w:tcPr>
            <w:tcW w:w="3658" w:type="pct"/>
            <w:noWrap w:val="0"/>
            <w:vAlign w:val="center"/>
          </w:tcPr>
          <w:p>
            <w:pPr>
              <w:spacing w:line="360" w:lineRule="auto"/>
              <w:rPr>
                <w:rFonts w:ascii="宋体" w:hAnsi="宋体"/>
                <w:color w:val="auto"/>
                <w:sz w:val="22"/>
                <w:szCs w:val="22"/>
                <w:highlight w:val="none"/>
                <w:lang w:val="zh-CN"/>
              </w:rPr>
            </w:pPr>
            <w:r>
              <w:rPr>
                <w:rFonts w:ascii="宋体" w:hAnsi="宋体"/>
                <w:color w:val="auto"/>
                <w:sz w:val="22"/>
                <w:szCs w:val="22"/>
                <w:highlight w:val="none"/>
                <w:lang w:val="zh-CN"/>
              </w:rPr>
              <w:t>招标文件中标注“</w:t>
            </w:r>
            <w:r>
              <w:rPr>
                <w:rFonts w:hint="eastAsia" w:ascii="宋体" w:hAnsi="宋体"/>
                <w:color w:val="auto"/>
                <w:sz w:val="22"/>
                <w:szCs w:val="22"/>
                <w:highlight w:val="none"/>
                <w:lang w:val="zh-CN"/>
              </w:rPr>
              <w:t>★</w:t>
            </w:r>
            <w:r>
              <w:rPr>
                <w:rFonts w:ascii="宋体" w:hAnsi="宋体"/>
                <w:color w:val="auto"/>
                <w:sz w:val="22"/>
                <w:szCs w:val="22"/>
                <w:highlight w:val="none"/>
                <w:lang w:val="zh-CN"/>
              </w:rPr>
              <w:t>”号的为重要要求或关键指标，对这些重要要求或关键指标的任何偏离或不满足将导致废标。</w:t>
            </w:r>
          </w:p>
        </w:tc>
      </w:tr>
    </w:tbl>
    <w:p>
      <w:pPr>
        <w:numPr>
          <w:ilvl w:val="0"/>
          <w:numId w:val="57"/>
        </w:numPr>
        <w:spacing w:line="360" w:lineRule="auto"/>
        <w:ind w:firstLine="442" w:firstLineChars="200"/>
        <w:rPr>
          <w:rFonts w:hint="eastAsia"/>
          <w:b/>
          <w:color w:val="auto"/>
          <w:sz w:val="22"/>
          <w:szCs w:val="22"/>
          <w:highlight w:val="none"/>
        </w:rPr>
      </w:pPr>
      <w:r>
        <w:rPr>
          <w:rFonts w:hint="eastAsia"/>
          <w:b/>
          <w:color w:val="auto"/>
          <w:sz w:val="22"/>
          <w:szCs w:val="22"/>
          <w:highlight w:val="none"/>
        </w:rPr>
        <w:t>项目概况</w:t>
      </w:r>
    </w:p>
    <w:p>
      <w:pPr>
        <w:spacing w:line="360" w:lineRule="auto"/>
        <w:ind w:firstLine="440" w:firstLineChars="200"/>
        <w:rPr>
          <w:color w:val="auto"/>
          <w:sz w:val="22"/>
          <w:szCs w:val="22"/>
          <w:highlight w:val="none"/>
        </w:rPr>
      </w:pPr>
      <w:r>
        <w:rPr>
          <w:rFonts w:hint="eastAsia" w:ascii="宋体" w:hAnsi="宋体" w:cs="宋体"/>
          <w:color w:val="auto"/>
          <w:sz w:val="22"/>
          <w:szCs w:val="22"/>
          <w:highlight w:val="none"/>
        </w:rPr>
        <w:t>为提高</w:t>
      </w:r>
      <w:r>
        <w:rPr>
          <w:rFonts w:hint="eastAsia" w:ascii="宋体" w:hAnsi="宋体" w:cs="宋体"/>
          <w:color w:val="auto"/>
          <w:sz w:val="22"/>
          <w:szCs w:val="22"/>
          <w:highlight w:val="none"/>
          <w:lang w:val="en-US" w:eastAsia="zh-CN"/>
        </w:rPr>
        <w:t>2号线电客车自主架修</w:t>
      </w:r>
      <w:r>
        <w:rPr>
          <w:rFonts w:hint="eastAsia" w:ascii="宋体" w:hAnsi="宋体" w:cs="宋体"/>
          <w:color w:val="auto"/>
          <w:sz w:val="22"/>
          <w:szCs w:val="22"/>
          <w:highlight w:val="none"/>
        </w:rPr>
        <w:t>诊断监测能力</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拆装及</w:t>
      </w:r>
      <w:r>
        <w:rPr>
          <w:rFonts w:hint="eastAsia" w:ascii="宋体" w:hAnsi="宋体" w:cs="宋体"/>
          <w:color w:val="auto"/>
          <w:sz w:val="22"/>
          <w:szCs w:val="22"/>
          <w:highlight w:val="none"/>
        </w:rPr>
        <w:t>综合检修水平，添购轴箱轴承分解设备、受电弓检修工作台、</w:t>
      </w:r>
      <w:r>
        <w:rPr>
          <w:rFonts w:hint="eastAsia" w:ascii="宋体" w:hAnsi="宋体" w:cs="宋体"/>
          <w:color w:val="auto"/>
          <w:sz w:val="22"/>
          <w:szCs w:val="22"/>
          <w:highlight w:val="none"/>
          <w:lang w:val="en-US" w:eastAsia="zh-CN"/>
        </w:rPr>
        <w:t>移动小车、液压泵</w:t>
      </w:r>
      <w:r>
        <w:rPr>
          <w:rFonts w:hint="eastAsia" w:ascii="宋体" w:hAnsi="宋体" w:cs="宋体"/>
          <w:color w:val="auto"/>
          <w:sz w:val="22"/>
          <w:szCs w:val="22"/>
          <w:highlight w:val="none"/>
        </w:rPr>
        <w:t>、电缆压接设备、MVB智能诊断设备、气动清洁设备等维护检测设备；为了满足生产现场</w:t>
      </w:r>
      <w:r>
        <w:rPr>
          <w:rFonts w:hint="eastAsia" w:ascii="宋体" w:hAnsi="宋体" w:cs="宋体"/>
          <w:color w:val="auto"/>
          <w:sz w:val="22"/>
          <w:szCs w:val="22"/>
          <w:highlight w:val="none"/>
          <w:lang w:val="en-US" w:eastAsia="zh-CN"/>
        </w:rPr>
        <w:t>作业或设备更换</w:t>
      </w:r>
      <w:r>
        <w:rPr>
          <w:rFonts w:hint="eastAsia" w:ascii="宋体" w:hAnsi="宋体" w:cs="宋体"/>
          <w:color w:val="auto"/>
          <w:sz w:val="22"/>
          <w:szCs w:val="22"/>
          <w:highlight w:val="none"/>
        </w:rPr>
        <w:t>需求，购置交流开关动作特性监测装置</w:t>
      </w:r>
      <w:r>
        <w:rPr>
          <w:rFonts w:hint="eastAsia" w:ascii="宋体" w:hAnsi="宋体" w:cs="宋体"/>
          <w:color w:val="auto"/>
          <w:sz w:val="22"/>
          <w:szCs w:val="22"/>
          <w:highlight w:val="none"/>
          <w:lang w:eastAsia="zh-CN"/>
        </w:rPr>
        <w:t>、直流牵引保护测试仪</w:t>
      </w:r>
      <w:r>
        <w:rPr>
          <w:rFonts w:hint="eastAsia" w:ascii="宋体" w:hAnsi="宋体" w:cs="宋体"/>
          <w:color w:val="auto"/>
          <w:sz w:val="22"/>
          <w:szCs w:val="22"/>
          <w:highlight w:val="none"/>
          <w:lang w:val="en-US" w:eastAsia="zh-CN"/>
        </w:rPr>
        <w:t>等</w:t>
      </w:r>
      <w:r>
        <w:rPr>
          <w:rFonts w:hint="eastAsia" w:ascii="宋体" w:hAnsi="宋体" w:cs="宋体"/>
          <w:color w:val="auto"/>
          <w:sz w:val="22"/>
          <w:szCs w:val="22"/>
          <w:highlight w:val="none"/>
        </w:rPr>
        <w:t>设备一批，各部门需求情况见下表。</w:t>
      </w:r>
    </w:p>
    <w:p>
      <w:pPr>
        <w:numPr>
          <w:ilvl w:val="0"/>
          <w:numId w:val="57"/>
        </w:numPr>
        <w:spacing w:line="360" w:lineRule="auto"/>
        <w:ind w:left="0" w:leftChars="0" w:firstLine="442" w:firstLineChars="200"/>
        <w:rPr>
          <w:rFonts w:hint="eastAsia"/>
          <w:b/>
          <w:color w:val="auto"/>
          <w:sz w:val="22"/>
          <w:szCs w:val="22"/>
          <w:highlight w:val="none"/>
        </w:rPr>
      </w:pPr>
      <w:r>
        <w:rPr>
          <w:rFonts w:hint="eastAsia"/>
          <w:b/>
          <w:color w:val="auto"/>
          <w:sz w:val="22"/>
          <w:szCs w:val="22"/>
          <w:highlight w:val="none"/>
        </w:rPr>
        <w:t>招标范围</w:t>
      </w:r>
    </w:p>
    <w:p>
      <w:pPr>
        <w:widowControl/>
        <w:spacing w:line="360" w:lineRule="auto"/>
        <w:ind w:firstLine="440" w:firstLineChars="200"/>
        <w:jc w:val="left"/>
        <w:rPr>
          <w:color w:val="auto"/>
          <w:sz w:val="22"/>
          <w:szCs w:val="22"/>
          <w:highlight w:val="none"/>
        </w:rPr>
      </w:pPr>
      <w:r>
        <w:rPr>
          <w:rFonts w:hint="eastAsia" w:ascii="宋体" w:hAnsi="宋体" w:cs="宋体"/>
          <w:color w:val="auto"/>
          <w:kern w:val="0"/>
          <w:sz w:val="22"/>
          <w:szCs w:val="22"/>
          <w:highlight w:val="none"/>
        </w:rPr>
        <w:t>本次招标范围为：</w:t>
      </w:r>
      <w:r>
        <w:rPr>
          <w:rFonts w:hint="eastAsia" w:ascii="宋体" w:hAnsi="宋体"/>
          <w:color w:val="auto"/>
          <w:sz w:val="22"/>
          <w:szCs w:val="22"/>
          <w:highlight w:val="none"/>
          <w:u w:val="single"/>
        </w:rPr>
        <w:t>东莞市轨道交通有限公司运营分公司</w:t>
      </w:r>
      <w:r>
        <w:rPr>
          <w:rFonts w:hint="eastAsia" w:ascii="宋体" w:hAnsi="宋体"/>
          <w:color w:val="auto"/>
          <w:sz w:val="22"/>
          <w:szCs w:val="22"/>
          <w:highlight w:val="none"/>
          <w:u w:val="single"/>
          <w:lang w:eastAsia="zh-CN"/>
        </w:rPr>
        <w:t>2021</w:t>
      </w:r>
      <w:r>
        <w:rPr>
          <w:rFonts w:hint="eastAsia" w:ascii="宋体" w:hAnsi="宋体"/>
          <w:color w:val="auto"/>
          <w:sz w:val="22"/>
          <w:szCs w:val="22"/>
          <w:highlight w:val="none"/>
          <w:u w:val="single"/>
        </w:rPr>
        <w:t>年生产设备采购项目</w:t>
      </w:r>
      <w:r>
        <w:rPr>
          <w:rFonts w:hint="eastAsia" w:ascii="宋体" w:hAnsi="宋体" w:cs="宋体"/>
          <w:color w:val="auto"/>
          <w:kern w:val="0"/>
          <w:sz w:val="22"/>
          <w:szCs w:val="22"/>
          <w:highlight w:val="none"/>
        </w:rPr>
        <w:t>的供货、运输、验收、售后及相关服务等。</w:t>
      </w:r>
    </w:p>
    <w:p>
      <w:pPr>
        <w:numPr>
          <w:ilvl w:val="0"/>
          <w:numId w:val="57"/>
        </w:numPr>
        <w:spacing w:line="360" w:lineRule="auto"/>
        <w:ind w:left="0" w:leftChars="0"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rPr>
        <w:t>清单及技术要求</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1、项目需求内容核减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合并</w:t>
      </w:r>
      <w:r>
        <w:rPr>
          <w:rFonts w:hint="eastAsia" w:ascii="宋体" w:hAnsi="宋体" w:eastAsia="宋体" w:cs="宋体"/>
          <w:color w:val="auto"/>
          <w:sz w:val="22"/>
          <w:szCs w:val="22"/>
          <w:highlight w:val="none"/>
        </w:rPr>
        <w:t>后</w:t>
      </w:r>
      <w:r>
        <w:rPr>
          <w:rFonts w:hint="eastAsia" w:ascii="宋体" w:hAnsi="宋体" w:eastAsia="宋体" w:cs="宋体"/>
          <w:color w:val="auto"/>
          <w:sz w:val="22"/>
          <w:szCs w:val="22"/>
          <w:highlight w:val="none"/>
          <w:lang w:val="en-US" w:eastAsia="zh-CN"/>
        </w:rPr>
        <w:t>实际</w:t>
      </w:r>
      <w:r>
        <w:rPr>
          <w:rFonts w:hint="eastAsia" w:ascii="宋体" w:hAnsi="宋体" w:eastAsia="宋体" w:cs="宋体"/>
          <w:color w:val="auto"/>
          <w:sz w:val="22"/>
          <w:szCs w:val="22"/>
          <w:highlight w:val="none"/>
        </w:rPr>
        <w:t>为</w:t>
      </w:r>
      <w:r>
        <w:rPr>
          <w:rFonts w:hint="eastAsia" w:ascii="宋体" w:hAnsi="宋体" w:cs="宋体"/>
          <w:color w:val="auto"/>
          <w:sz w:val="22"/>
          <w:szCs w:val="22"/>
          <w:highlight w:val="none"/>
          <w:lang w:val="en-US" w:eastAsia="zh-CN"/>
        </w:rPr>
        <w:t>28</w:t>
      </w:r>
      <w:r>
        <w:rPr>
          <w:rFonts w:hint="eastAsia" w:ascii="宋体" w:hAnsi="宋体" w:eastAsia="宋体" w:cs="宋体"/>
          <w:color w:val="auto"/>
          <w:sz w:val="22"/>
          <w:szCs w:val="22"/>
          <w:highlight w:val="none"/>
        </w:rPr>
        <w:t>项（详见清单）。</w:t>
      </w:r>
    </w:p>
    <w:tbl>
      <w:tblPr>
        <w:tblStyle w:val="5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98"/>
        <w:gridCol w:w="4806"/>
        <w:gridCol w:w="437"/>
        <w:gridCol w:w="43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97" w:type="dxa"/>
            <w:gridSpan w:val="6"/>
            <w:noWrap/>
            <w:vAlign w:val="top"/>
          </w:tcPr>
          <w:p>
            <w:pPr>
              <w:spacing w:line="360" w:lineRule="auto"/>
              <w:ind w:firstLine="2209" w:firstLineChars="10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2021</w:t>
            </w:r>
            <w:r>
              <w:rPr>
                <w:rFonts w:hint="eastAsia" w:ascii="宋体" w:hAnsi="宋体" w:eastAsia="宋体" w:cs="宋体"/>
                <w:b/>
                <w:bCs/>
                <w:color w:val="auto"/>
                <w:sz w:val="22"/>
                <w:szCs w:val="22"/>
                <w:highlight w:val="none"/>
              </w:rPr>
              <w:t>年度运营分公司生产设备项目采购明细表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5" w:type="dxa"/>
            <w:vMerge w:val="restart"/>
            <w:noWrap w:val="0"/>
            <w:vAlign w:val="center"/>
          </w:tcPr>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398" w:type="dxa"/>
            <w:vMerge w:val="restart"/>
            <w:noWrap w:val="0"/>
            <w:vAlign w:val="center"/>
          </w:tcPr>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物资名称</w:t>
            </w:r>
          </w:p>
        </w:tc>
        <w:tc>
          <w:tcPr>
            <w:tcW w:w="4806" w:type="dxa"/>
            <w:vMerge w:val="restart"/>
            <w:noWrap w:val="0"/>
            <w:vAlign w:val="center"/>
          </w:tcPr>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规格型号（技术要求）</w:t>
            </w:r>
          </w:p>
        </w:tc>
        <w:tc>
          <w:tcPr>
            <w:tcW w:w="437" w:type="dxa"/>
            <w:vMerge w:val="restart"/>
            <w:noWrap w:val="0"/>
            <w:vAlign w:val="center"/>
          </w:tcPr>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单位</w:t>
            </w:r>
          </w:p>
        </w:tc>
        <w:tc>
          <w:tcPr>
            <w:tcW w:w="437" w:type="dxa"/>
            <w:vMerge w:val="restart"/>
            <w:noWrap w:val="0"/>
            <w:vAlign w:val="center"/>
          </w:tcPr>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1144" w:type="dxa"/>
            <w:vMerge w:val="restart"/>
            <w:noWrap w:val="0"/>
            <w:vAlign w:val="center"/>
          </w:tcPr>
          <w:p>
            <w:pPr>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交货周期（天）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vMerge w:val="continue"/>
            <w:noWrap w:val="0"/>
            <w:vAlign w:val="center"/>
          </w:tcPr>
          <w:p>
            <w:pPr>
              <w:spacing w:line="360" w:lineRule="auto"/>
              <w:jc w:val="center"/>
              <w:rPr>
                <w:rFonts w:hint="eastAsia" w:ascii="宋体" w:hAnsi="宋体" w:eastAsia="宋体" w:cs="宋体"/>
                <w:b/>
                <w:bCs/>
                <w:color w:val="auto"/>
                <w:sz w:val="22"/>
                <w:szCs w:val="22"/>
                <w:highlight w:val="none"/>
              </w:rPr>
            </w:pPr>
          </w:p>
        </w:tc>
        <w:tc>
          <w:tcPr>
            <w:tcW w:w="1398" w:type="dxa"/>
            <w:vMerge w:val="continue"/>
            <w:noWrap w:val="0"/>
            <w:vAlign w:val="top"/>
          </w:tcPr>
          <w:p>
            <w:pPr>
              <w:spacing w:line="360" w:lineRule="auto"/>
              <w:rPr>
                <w:rFonts w:hint="eastAsia" w:ascii="宋体" w:hAnsi="宋体" w:eastAsia="宋体" w:cs="宋体"/>
                <w:b/>
                <w:bCs/>
                <w:color w:val="auto"/>
                <w:sz w:val="22"/>
                <w:szCs w:val="22"/>
                <w:highlight w:val="none"/>
              </w:rPr>
            </w:pPr>
          </w:p>
        </w:tc>
        <w:tc>
          <w:tcPr>
            <w:tcW w:w="4806" w:type="dxa"/>
            <w:vMerge w:val="continue"/>
            <w:noWrap w:val="0"/>
            <w:vAlign w:val="top"/>
          </w:tcPr>
          <w:p>
            <w:pPr>
              <w:spacing w:line="360" w:lineRule="auto"/>
              <w:rPr>
                <w:rFonts w:hint="eastAsia" w:ascii="宋体" w:hAnsi="宋体" w:eastAsia="宋体" w:cs="宋体"/>
                <w:b/>
                <w:bCs/>
                <w:color w:val="auto"/>
                <w:sz w:val="22"/>
                <w:szCs w:val="22"/>
                <w:highlight w:val="none"/>
              </w:rPr>
            </w:pPr>
          </w:p>
        </w:tc>
        <w:tc>
          <w:tcPr>
            <w:tcW w:w="437" w:type="dxa"/>
            <w:vMerge w:val="continue"/>
            <w:noWrap w:val="0"/>
            <w:vAlign w:val="top"/>
          </w:tcPr>
          <w:p>
            <w:pPr>
              <w:spacing w:line="360" w:lineRule="auto"/>
              <w:rPr>
                <w:rFonts w:hint="eastAsia" w:ascii="宋体" w:hAnsi="宋体" w:eastAsia="宋体" w:cs="宋体"/>
                <w:b/>
                <w:bCs/>
                <w:color w:val="auto"/>
                <w:sz w:val="22"/>
                <w:szCs w:val="22"/>
                <w:highlight w:val="none"/>
              </w:rPr>
            </w:pPr>
          </w:p>
        </w:tc>
        <w:tc>
          <w:tcPr>
            <w:tcW w:w="437" w:type="dxa"/>
            <w:vMerge w:val="continue"/>
            <w:noWrap w:val="0"/>
            <w:vAlign w:val="top"/>
          </w:tcPr>
          <w:p>
            <w:pPr>
              <w:spacing w:line="360" w:lineRule="auto"/>
              <w:rPr>
                <w:rFonts w:hint="eastAsia" w:ascii="宋体" w:hAnsi="宋体" w:eastAsia="宋体" w:cs="宋体"/>
                <w:b/>
                <w:bCs/>
                <w:color w:val="auto"/>
                <w:sz w:val="22"/>
                <w:szCs w:val="22"/>
                <w:highlight w:val="none"/>
              </w:rPr>
            </w:pPr>
          </w:p>
        </w:tc>
        <w:tc>
          <w:tcPr>
            <w:tcW w:w="1144" w:type="dxa"/>
            <w:vMerge w:val="continue"/>
            <w:noWrap w:val="0"/>
            <w:vAlign w:val="top"/>
          </w:tcPr>
          <w:p>
            <w:pPr>
              <w:spacing w:line="360" w:lineRule="auto"/>
              <w:rPr>
                <w:rFonts w:hint="eastAsia" w:ascii="宋体" w:hAnsi="宋体" w:eastAsia="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bookmarkStart w:id="180" w:name="OLE_LINK1" w:colFirst="1" w:colLast="4"/>
            <w:r>
              <w:rPr>
                <w:rFonts w:hint="eastAsia" w:ascii="宋体" w:hAnsi="宋体" w:eastAsia="宋体" w:cs="宋体"/>
                <w:color w:val="auto"/>
                <w:sz w:val="22"/>
                <w:szCs w:val="22"/>
                <w:highlight w:val="none"/>
              </w:rPr>
              <w:t>1</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铝热环</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轴承拆卸铝环 （Φ90/Φ140），BCP70093，型号：TMBR NU1018； 材料：铝；最大工作温度：300℃（附实物图片）</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rPr>
              <w:drawing>
                <wp:inline distT="0" distB="0" distL="114300" distR="114300">
                  <wp:extent cx="1031240" cy="1352550"/>
                  <wp:effectExtent l="0" t="0" r="0" b="16510"/>
                  <wp:docPr id="1" name="图片 1" descr="lADPD26eOdOTAgTNBQDNA8A_960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DPD26eOdOTAgTNBQDNA8A_960_1280"/>
                          <pic:cNvPicPr>
                            <a:picLocks noChangeAspect="1"/>
                          </pic:cNvPicPr>
                        </pic:nvPicPr>
                        <pic:blipFill>
                          <a:blip r:embed="rId12"/>
                          <a:stretch>
                            <a:fillRect/>
                          </a:stretch>
                        </pic:blipFill>
                        <pic:spPr>
                          <a:xfrm rot="-5400000">
                            <a:off x="0" y="0"/>
                            <a:ext cx="1031240" cy="1352550"/>
                          </a:xfrm>
                          <a:prstGeom prst="rect">
                            <a:avLst/>
                          </a:prstGeom>
                          <a:noFill/>
                          <a:ln>
                            <a:noFill/>
                          </a:ln>
                        </pic:spPr>
                      </pic:pic>
                    </a:graphicData>
                  </a:graphic>
                </wp:inline>
              </w:drawing>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bookmark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bookmarkStart w:id="181" w:name="OLE_LINK2" w:colFirst="1" w:colLast="2"/>
            <w:r>
              <w:rPr>
                <w:rFonts w:hint="eastAsia" w:ascii="宋体" w:hAnsi="宋体" w:eastAsia="宋体" w:cs="宋体"/>
                <w:color w:val="auto"/>
                <w:sz w:val="22"/>
                <w:szCs w:val="22"/>
                <w:highlight w:val="none"/>
              </w:rPr>
              <w:t>2</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轴箱轴承分解设备</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圆柱套筒：外径214MM，内径194MM，高度150MM，壁厚10MM；单边通孔；密封端配φ8*4倒角。（详见备注图纸）</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轴承橡胶内套退卸设备</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尼龙材质；管状，外径238MM，内径125MM，高度150MM。单边沉孔处理：φ217*10MM。（详见备注图纸）</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轴端防护设备</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橡胶材质，阶梯套筒形状。配套车轴使用。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一级台阶φ125*长度160MM，二级台阶φ60MM*长度60MM，小直径端端部密封，大直径端通孔，橡胶壁厚5MM。（详见备注图纸）</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96</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液压泵1（配液压管）</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液压泵1（配液压管）  低压推进油泵，中空液压千斤顶：50MPa;RCH123，货号EN-H121，套件含手动泵、压力表、表座、2米油管，千斤顶及快速接头</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液压泵2（配液压管）</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液压泵2（配液压管）  P2282高压油泵工作最大输出压力：300MPa，货号EN-B300，接口G1/8，套件含高压泵、压力表、表座、3米油管及定制油嘴</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构架移动小车</w:t>
            </w:r>
          </w:p>
        </w:tc>
        <w:tc>
          <w:tcPr>
            <w:tcW w:w="4806" w:type="dxa"/>
            <w:noWrap w:val="0"/>
            <w:vAlign w:val="center"/>
          </w:tcPr>
          <w:p>
            <w:pPr>
              <w:keepNext w:val="0"/>
              <w:keepLines w:val="0"/>
              <w:widowControl/>
              <w:numPr>
                <w:ilvl w:val="0"/>
                <w:numId w:val="58"/>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运输架可以承载一个构架，承载力强，并能运输自如；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2、设备采用实心橡胶轮胎，轮径不小于280mm,结实耐用，承载能力强，不损伤地面，可跨越高差10mm的轨道。设备前端轮对为万向轮，各轮子带有自锁功能；</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3、设备设有推车扶手；</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4、运输小车为有很好的防水防锈性，要求钢材经过发黑处理；</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（详见备注图纸）</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轮对齿轮箱移动小车</w:t>
            </w:r>
          </w:p>
        </w:tc>
        <w:tc>
          <w:tcPr>
            <w:tcW w:w="4806" w:type="dxa"/>
            <w:noWrap w:val="0"/>
            <w:vAlign w:val="center"/>
          </w:tcPr>
          <w:p>
            <w:pPr>
              <w:keepNext w:val="0"/>
              <w:keepLines w:val="0"/>
              <w:widowControl/>
              <w:numPr>
                <w:ilvl w:val="0"/>
                <w:numId w:val="59"/>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工装为齿轮箱安装滑轮结构；</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2、工装能通过螺栓固定方式安装在齿轮的安装螺孔上；</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3、设备采用实心橡胶轮胎，结实耐用，承载能力强，不损伤地面，可跨越高差10mm的轨道。</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4、工装装配后动车轮对可轨道上轻松推动。</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（详见备注图纸）</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40</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受电弓检修工作台</w:t>
            </w:r>
          </w:p>
        </w:tc>
        <w:tc>
          <w:tcPr>
            <w:tcW w:w="4806" w:type="dxa"/>
            <w:noWrap w:val="0"/>
            <w:vAlign w:val="center"/>
          </w:tcPr>
          <w:p>
            <w:pPr>
              <w:keepNext w:val="0"/>
              <w:keepLines w:val="0"/>
              <w:widowControl/>
              <w:numPr>
                <w:ilvl w:val="0"/>
                <w:numId w:val="6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工作台放置表面设有受电弓安装定位点，受电弓能正常安装于工作台上，并且对位简单，安装方便；</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2、工作台上可要求坚固，受电弓运输时平稳安全；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3、设备采用实心橡胶轮胎，结实耐用，承载能力强，不损伤地面，可跨越高差10mm的轨道。</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4、工装装配后动车轮对可轨道上轻松推动，带锁定装置。</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（详见备注图纸）</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电缆压接设备1</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klauke  EK6022CFM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压接力：60kN</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行程：17mm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压接范围:6-300mm2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压接循环：3-5秒</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充电时间：90分钟以内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配专用收纳箱</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可通过蓝牙读取设备数据</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电缆压接设备2</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klauke  EK12042CFM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压接力：120kN</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行程：42mm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压接范围:16-400mm2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压接循环：8-9秒</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充电时间：90分钟以内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配专用收纳箱</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可通过蓝牙读取设备数据</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rPr>
            </w:pPr>
            <w:r>
              <w:rPr>
                <w:rFonts w:hint="eastAsia" w:ascii="宋体" w:hAnsi="宋体" w:eastAsia="宋体" w:cs="宋体"/>
                <w:i w:val="0"/>
                <w:color w:val="auto"/>
                <w:kern w:val="0"/>
                <w:sz w:val="22"/>
                <w:szCs w:val="22"/>
                <w:highlight w:val="none"/>
                <w:u w:val="none"/>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电缆剪切设备</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klauke  ESG105CFM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压接力：120kN</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剪切范围：105mm以内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剪切材质：铜、铝电缆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充电时间：90分钟以内</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配内部活动刀片、外部固定刀片</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配专用收纳箱</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可通过蓝牙读取设备数据</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气动清洁设备</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型号：PSI  AM-2FKIT</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配置说明：AM-1枪柄一个、 50mm枪头一个、喷嘴31个【（5-50毫米），包 括 1）10个Hose喷嘴：白色喷嘴，共十个，包括HN06、HN08、HN10、HN13、HN16、HN19、HN25、HN32、HN38、HN50，各一个。</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2）14个Tube/JIC喷嘴：绿色喷嘴，共14个，包括TN05、JN06、JN08/TN06、TN08、JN10、TN10、JN/TN13、JN/TN16、JN/TN19、JN25/TN22、JN32/TN25、TN32、JN/TN38，JN/TN50，各一个。</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3）7个BSP喷嘴：蓝色喷嘴，共7个，包括BN06、BN10、BN13、BN16、BN19、BN25、BN32，各一个。 】</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把</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lang w:val="en-US"/>
              </w:rPr>
            </w:pPr>
            <w:r>
              <w:rPr>
                <w:rFonts w:hint="eastAsia" w:ascii="宋体" w:hAnsi="宋体" w:eastAsia="宋体" w:cs="宋体"/>
                <w:i w:val="0"/>
                <w:color w:val="auto"/>
                <w:kern w:val="0"/>
                <w:sz w:val="22"/>
                <w:szCs w:val="22"/>
                <w:highlight w:val="none"/>
                <w:u w:val="none"/>
                <w:lang w:val="en-US" w:eastAsia="zh-CN" w:bidi="ar"/>
              </w:rPr>
              <w:t>60天</w:t>
            </w:r>
          </w:p>
        </w:tc>
      </w:tr>
      <w:bookmarkEnd w:id="1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5" w:type="dxa"/>
            <w:noWrap/>
            <w:vAlign w:val="center"/>
          </w:tcPr>
          <w:p>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构架支撑墩</w:t>
            </w:r>
          </w:p>
        </w:tc>
        <w:tc>
          <w:tcPr>
            <w:tcW w:w="4806" w:type="dxa"/>
            <w:noWrap/>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存放架为4个支撑点支撑构架形式放置，并设定好支撑点，要求平移安全。4个/套。支撑墩底部预留打地脚螺栓的通孔，每个支撑墩底部4个孔。</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（详见备注图纸）</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MVB智能诊断设备</w:t>
            </w:r>
          </w:p>
        </w:tc>
        <w:tc>
          <w:tcPr>
            <w:tcW w:w="4806" w:type="dxa"/>
            <w:noWrap/>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型号：</w:t>
            </w:r>
            <w:r>
              <w:rPr>
                <w:rFonts w:hint="eastAsia" w:ascii="宋体" w:hAnsi="宋体" w:eastAsia="宋体" w:cs="宋体"/>
                <w:i w:val="0"/>
                <w:color w:val="auto"/>
                <w:kern w:val="0"/>
                <w:sz w:val="22"/>
                <w:szCs w:val="22"/>
                <w:highlight w:val="none"/>
                <w:u w:val="none"/>
                <w:lang w:val="en-US" w:eastAsia="zh-CN" w:bidi="ar"/>
              </w:rPr>
              <w:t>HR-ZH8400</w:t>
            </w:r>
            <w:r>
              <w:rPr>
                <w:rFonts w:hint="eastAsia" w:ascii="宋体" w:hAnsi="宋体" w:cs="宋体"/>
                <w:i w:val="0"/>
                <w:color w:val="auto"/>
                <w:kern w:val="0"/>
                <w:sz w:val="22"/>
                <w:szCs w:val="22"/>
                <w:highlight w:val="none"/>
                <w:u w:val="none"/>
                <w:lang w:val="en-US" w:eastAsia="zh-CN" w:bidi="ar"/>
              </w:rPr>
              <w:t xml:space="preserve"> 一、</w:t>
            </w:r>
            <w:r>
              <w:rPr>
                <w:rFonts w:hint="eastAsia" w:ascii="宋体" w:hAnsi="宋体" w:eastAsia="宋体" w:cs="宋体"/>
                <w:i w:val="0"/>
                <w:color w:val="auto"/>
                <w:kern w:val="0"/>
                <w:sz w:val="22"/>
                <w:szCs w:val="22"/>
                <w:highlight w:val="none"/>
                <w:u w:val="none"/>
                <w:lang w:val="en-US" w:eastAsia="zh-CN" w:bidi="ar"/>
              </w:rPr>
              <w:t>使用条件要求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 供电</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设备使用AC220V供电。要求设备内置电池，依靠电池可独立工作4小时以上。</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 环境适用性</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 工作温度：-10℃～50℃；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 存储温度：-25℃～70℃；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 工作湿度：10%～90%RH，不凝露；</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 存储湿度：5%～95%RH，不凝露；</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二. 基本要求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 设备必须是全新设备（包括所有零部件、备品备件及其附件等）；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 设备必须是成熟的、可靠的，且能保证长期稳定运行的产品，产品设计合理，技术先进，性能可靠，操作简便，易于维护和维修.</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 设备零部件应选用优质材料制造，所选用的机械、液压、电气电子元器件是优质的、成熟的、可靠的品牌系列产品。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 设备应具有可靠的安全保护、报警、保险措施，以防止误操作或意外事故致使机器受损或造成人身伤亡，设备的安全质量性能符合国家、行业相关技术规范、强制性标准的有关规定。</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 设备应符合环保方面国家相关技术规范、强制性标准的有关规定，能效指标符合国家相关技术规范、强制性标准的有关规定。</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 设备相关的资料的度量单位全部采用国际单位（SI）标准。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三. 性能要求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   支持MVB网络实时协议分析无遗漏；</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 支持解码阈值配置，精度0.01V；</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 协议数据时间戳精度1us；</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 内置存储空间不小于256GB；</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 内置示波器：1024ms波形单次采集时间，采样深度12bits，采样频率60MHz；</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 采集通道数：2路；</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 设备具备导入网络拓扑功能，智能诊断软件根据导入的拓扑表格，结合采集的报文数据，对列车故障进行自动化智能自主定位和原因分析，诊断报告应能显示各设备的状态，并以不同颜色区分；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8、 设备可依靠电池独立工作4小时以上；</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四. 机械接口要求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 设备主机体积应不超过350*300*120mm；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 设备主机重量应不超过5kg。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 xml:space="preserve"> </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五. 技术功能要求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1、设备接入被测网络时，不得造成网络拓扑变化、不能造成网络阻抗突变、不能往网络中输出信号或其它干扰；</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设备应具备双通道同时采集的能力（MVB），双通道集成在一对DB9测试接口（公头+母头）内，能够适用于各大主流厂商的MVB总线类型；对于A、B路分别在两根独立的线缆中传输时，要求设备提供配套夹具或者转接线缆，以方便A、B路信号同时接入设备；</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3、设备的唯一一对测试接口能够适用于ESD、EMD三种总线介质，能够配置设备使其与上述总线介质相匹配；</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4、设备应具备实时网络负荷计算功能，以网络占用百分比形式显示，每1秒刷新一次，计算依据是这一秒内有信号的时间除以总时间（1秒）；</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5、设备应具备数据统计功能，包含过程数据、消息数据、监视数据的数量统计，帧头异常、帧尾异常、CRC错误的数量统计；</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6、设备应具备帧总览模式，能够实时刷新当前主设备的端口扫描表，其中包括端口号、Fcode、轮询周期、各端口查询次数、端口应答次数等；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7、端口扫描表格默认依据端口号升序排列，以方便使用者查找特定的端口；另外，也可以依据未响应数量降序排列，以快速定位存在通信异常的端口；</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8、端口扫描表格能够显示端口轮询周期时，要求精确到1us，以精确了解主设备的轮询情况；如果对于单个端口，存在较大的轮询周期跳变，设备应能识别出这个情况，并在轮询周期里显示对应的情况；</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9、设备应具备协议分析模式，能够逐条采集并显示网络中的通信协议；设备能够给每条帧数据加上时间戳，时间戳的精度为1us，以方便使用者详细了解各个帧出现时间、分析宏周期构成、端口轮询周期、从设备应答延时等详细参数；</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10、协议分析模式可在线采集、实时查看；也可以在采集的过程中，后台保存数据，事后回放分析；</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11、协议分析模式的在线采集软件界面应能显示报文序号、时间戳、帧周期、帧长度、帧数据等；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12、MVB协议分析模式的在线采集支持采集过滤配置，包括功能类型（过程数据、消息数据、监视数据）、F码、地址过滤（地址范围匹配、地址列表匹配、地址排除等）；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13、协议分析模式的回放分析软件界面，应能显示报文序号、时间戳、主帧周期、从帧应答时间、帧数据等内容；要求要能自动显示帧无法解析、CRC校验错误、帧尾错误等错误明细；</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14、协议分析模式的回放分析软件界面，支持显示过滤配置，过滤功能包括配置设备的Fcode和对应的地址，可以支持多个设备地址以及设备地址范围匹配；</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15、协议分析模式的回放分析软件界面，能够针对不同的端口，配置预期的主帧间隔（上限+下限，例如预期某端口周期为16ms±1ms），来快速查看是否存在主帧丢失；</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16、协议分析模式的回放分析软件界面，能够配置预期最大的从设备应答时间（例如配置应答时间超过6us不符合要求），来快速查看是否存在应答超时，以快速查找是否存在从设备应答与后续主帧发生碰撞的风险情况；</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17、协议分析模式的回放分析软件界面，具备查找端口号功能，能够找到指定端口号在帧列表中的位置，这样可以找到某个特定的端口。</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六. 供货清单</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主要供货清单有：MVB智能诊断仪主机、MVB智能诊断仪软件、配件（2套网线、2套电源线、2套MVB线、1个设备箱等）、资料（合格证、出厂测试报告、产品使用说明书，产品维护说明书等）。</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七.其它说明</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包含现场安装调试、培训费用，1年质保。</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6</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环保型自动计量加抽油机</w:t>
            </w:r>
          </w:p>
        </w:tc>
        <w:tc>
          <w:tcPr>
            <w:tcW w:w="4806" w:type="dxa"/>
            <w:noWrap w:val="0"/>
            <w:vAlign w:val="center"/>
          </w:tcPr>
          <w:p>
            <w:pPr>
              <w:keepNext w:val="0"/>
              <w:keepLines w:val="0"/>
              <w:widowControl/>
              <w:numPr>
                <w:ilvl w:val="0"/>
                <w:numId w:val="61"/>
              </w:numPr>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箱体全密闭，符合环保型设计；</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2、支持备用电池供电，兼容24V电源接口，便于移动；</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3、同时具备加、抽油两种工作模式，且箱体完全独立，拒绝交叉污染。</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4、部件：主机×1充电器×1工频电源线×1充电器×1油枪×2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5、额定电压 AC180V~AC220V</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额定功率 820W</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设备规格 72.5×40×71(单位：cm)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单箱容量 63L</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电池容量 12AH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粘度上限 ＜400mm2/s</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应用温度 -5℃-75℃</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应用湿度 &lt;75%，无凝结</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7</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电动钢轨精磨机</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13.48E型；打磨控制系统：砂轮进给由电路系统控制，配置砂轮片上升下降电动按钮，采用德国西门子OnBoard 2.0 触屏控制系统，全数显触摸彩色屏幕；实时显示砂轮向上或者向下，具有自动归零和手动归零功能，具有磨石行程，垂直方向，打磨角度，总体磨耗的四种实时同屏显示功能；三相电机，输出功率不低于4 kW， 2850转，打磨过程中磨头转动时发动机始终保持水平作业；砂轮主轴空载转速：4500r/min；砂轮最高许用线速度50m/s；砂轮规格：Ø=125mm，δ=65mm或Ø=150mm，δ=65mm；打磨角度：砂轮仿形旋转倾斜范围不小于184°(±92°)，每次旋转角度小于1°；主体具备防雨水性能；有夜间照明可通过屏幕控制打开照明；有移动防护罩，防护罩与砂轮间安全间距不小于4mm，防护罩可手动升降，其结构和强度能有效阻挡火花飞溅和砂轮碎片飞出；绝缘性能：主机绝缘电阻不小于1MΩ，使用支撑装置时两轨间绝缘；整机原装进口；具有CE认证或符合CE申明，质保期不少于2年，需包含培训。</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内燃振动捣固镐</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ascii="宋体" w:hAnsi="宋体" w:eastAsia="宋体" w:cs="宋体"/>
                <w:color w:val="auto"/>
                <w:sz w:val="24"/>
                <w:szCs w:val="24"/>
                <w:highlight w:val="none"/>
              </w:rPr>
              <w:t>ROBEL 62.05L型，发动机类型：Dolmar</w:t>
            </w:r>
            <w:r>
              <w:rPr>
                <w:rFonts w:hint="eastAsia" w:ascii="宋体" w:hAnsi="宋体" w:cs="宋体"/>
                <w:color w:val="auto"/>
                <w:sz w:val="24"/>
                <w:szCs w:val="24"/>
                <w:highlight w:val="none"/>
                <w:lang w:eastAsia="zh-CN"/>
              </w:rPr>
              <w:t>。</w:t>
            </w:r>
            <w:r>
              <w:rPr>
                <w:rFonts w:hint="eastAsia" w:ascii="宋体" w:hAnsi="宋体" w:eastAsia="宋体" w:cs="宋体"/>
                <w:i w:val="0"/>
                <w:color w:val="auto"/>
                <w:kern w:val="0"/>
                <w:sz w:val="22"/>
                <w:szCs w:val="22"/>
                <w:highlight w:val="none"/>
                <w:u w:val="none"/>
                <w:lang w:val="en-US" w:eastAsia="zh-CN" w:bidi="ar"/>
              </w:rPr>
              <w:t>62.05L/减震系统：两级手臂减震，8个原生态橡胶减震垫片，内部传动采用万向轴节传动。/工作方法：两个内燃捣固镐可通过连接绳同时捣固，作业方式可选2或4模式，锰钢合金专用镐头可快速拆卸。汽油机采用四冲程风冷汽油机，输出功率不小于1.5kw/7500rpm;最大扭矩不小于2.18Nm；噪音声级小于95dB;振动频率不小于145HZ，机重小于17.8Kg；/产品须通过CE及DB认证，提供DGUV手臂减震检测报告及TUV噪声检测报告，产品需有产地证明及产品合格证。</w:t>
            </w:r>
          </w:p>
          <w:p>
            <w:pPr>
              <w:keepNext w:val="0"/>
              <w:keepLines w:val="0"/>
              <w:widowControl/>
              <w:suppressLineNumbers w:val="0"/>
              <w:spacing w:line="360" w:lineRule="auto"/>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Style w:val="202"/>
                <w:rFonts w:hint="eastAsia" w:ascii="宋体" w:hAnsi="宋体" w:eastAsia="宋体" w:cs="宋体"/>
                <w:color w:val="auto"/>
                <w:sz w:val="22"/>
                <w:szCs w:val="22"/>
                <w:highlight w:val="none"/>
                <w:lang w:val="en-US" w:eastAsia="zh-CN" w:bidi="ar"/>
              </w:rPr>
              <w:t>NZQ-40</w:t>
            </w:r>
            <w:r>
              <w:rPr>
                <w:rStyle w:val="191"/>
                <w:rFonts w:hint="eastAsia" w:ascii="宋体" w:hAnsi="宋体" w:eastAsia="宋体" w:cs="宋体"/>
                <w:color w:val="auto"/>
                <w:sz w:val="22"/>
                <w:szCs w:val="22"/>
                <w:highlight w:val="none"/>
                <w:lang w:val="en-US" w:eastAsia="zh-CN" w:bidi="ar"/>
              </w:rPr>
              <w:t>型内燃螺栓尼龙套两用钻取机</w:t>
            </w:r>
          </w:p>
        </w:tc>
        <w:tc>
          <w:tcPr>
            <w:tcW w:w="4806" w:type="dxa"/>
            <w:noWrap w:val="0"/>
            <w:vAlign w:val="center"/>
          </w:tcPr>
          <w:p>
            <w:pPr>
              <w:keepNext w:val="0"/>
              <w:keepLines w:val="0"/>
              <w:widowControl/>
              <w:suppressLineNumbers w:val="0"/>
              <w:spacing w:line="360" w:lineRule="auto"/>
              <w:jc w:val="left"/>
              <w:textAlignment w:val="center"/>
              <w:rPr>
                <w:rStyle w:val="202"/>
                <w:rFonts w:hint="eastAsia" w:ascii="宋体" w:hAnsi="宋体" w:eastAsia="宋体" w:cs="宋体"/>
                <w:color w:val="auto"/>
                <w:sz w:val="22"/>
                <w:szCs w:val="22"/>
                <w:highlight w:val="none"/>
                <w:lang w:val="en-US" w:eastAsia="zh-CN" w:bidi="ar"/>
              </w:rPr>
            </w:pPr>
            <w:r>
              <w:rPr>
                <w:rStyle w:val="202"/>
                <w:rFonts w:hint="eastAsia" w:ascii="宋体" w:hAnsi="宋体" w:eastAsia="宋体" w:cs="宋体"/>
                <w:color w:val="auto"/>
                <w:sz w:val="22"/>
                <w:szCs w:val="22"/>
                <w:highlight w:val="none"/>
                <w:lang w:val="en-US" w:eastAsia="zh-CN" w:bidi="ar"/>
              </w:rPr>
              <w:t>产品型号：</w:t>
            </w:r>
            <w:r>
              <w:rPr>
                <w:rStyle w:val="178"/>
                <w:rFonts w:hint="eastAsia" w:ascii="宋体" w:hAnsi="宋体" w:eastAsia="宋体" w:cs="宋体"/>
                <w:color w:val="auto"/>
                <w:sz w:val="22"/>
                <w:szCs w:val="22"/>
                <w:highlight w:val="none"/>
                <w:lang w:val="en-US" w:eastAsia="zh-CN" w:bidi="ar"/>
              </w:rPr>
              <w:t>NZQ-40</w:t>
            </w:r>
            <w:r>
              <w:rPr>
                <w:rStyle w:val="202"/>
                <w:rFonts w:hint="eastAsia" w:ascii="宋体" w:hAnsi="宋体" w:eastAsia="宋体" w:cs="宋体"/>
                <w:color w:val="auto"/>
                <w:sz w:val="22"/>
                <w:szCs w:val="22"/>
                <w:highlight w:val="none"/>
                <w:lang w:val="en-US" w:eastAsia="zh-CN" w:bidi="ar"/>
              </w:rPr>
              <w:t>型；采用单缸二冲程发动机功率：</w:t>
            </w:r>
            <w:r>
              <w:rPr>
                <w:rStyle w:val="178"/>
                <w:rFonts w:hint="eastAsia" w:ascii="宋体" w:hAnsi="宋体" w:eastAsia="宋体" w:cs="宋体"/>
                <w:color w:val="auto"/>
                <w:sz w:val="22"/>
                <w:szCs w:val="22"/>
                <w:highlight w:val="none"/>
                <w:lang w:val="en-US" w:eastAsia="zh-CN" w:bidi="ar"/>
              </w:rPr>
              <w:t>1.47kw</w:t>
            </w:r>
            <w:r>
              <w:rPr>
                <w:rStyle w:val="202"/>
                <w:rFonts w:hint="eastAsia" w:ascii="宋体" w:hAnsi="宋体" w:eastAsia="宋体" w:cs="宋体"/>
                <w:color w:val="auto"/>
                <w:sz w:val="22"/>
                <w:szCs w:val="22"/>
                <w:highlight w:val="none"/>
                <w:lang w:val="en-US" w:eastAsia="zh-CN" w:bidi="ar"/>
              </w:rPr>
              <w:t>；钻头工作转速：</w:t>
            </w:r>
            <w:r>
              <w:rPr>
                <w:rStyle w:val="178"/>
                <w:rFonts w:hint="eastAsia" w:ascii="宋体" w:hAnsi="宋体" w:eastAsia="宋体" w:cs="宋体"/>
                <w:color w:val="auto"/>
                <w:sz w:val="22"/>
                <w:szCs w:val="22"/>
                <w:highlight w:val="none"/>
                <w:lang w:val="en-US" w:eastAsia="zh-CN" w:bidi="ar"/>
              </w:rPr>
              <w:t>560±50rpm</w:t>
            </w:r>
            <w:r>
              <w:rPr>
                <w:rStyle w:val="202"/>
                <w:rFonts w:hint="eastAsia" w:ascii="宋体" w:hAnsi="宋体" w:eastAsia="宋体" w:cs="宋体"/>
                <w:color w:val="auto"/>
                <w:sz w:val="22"/>
                <w:szCs w:val="22"/>
                <w:highlight w:val="none"/>
                <w:lang w:val="en-US" w:eastAsia="zh-CN" w:bidi="ar"/>
              </w:rPr>
              <w:t>；岔枕最大钻取行程：</w:t>
            </w:r>
            <w:r>
              <w:rPr>
                <w:rStyle w:val="178"/>
                <w:rFonts w:hint="eastAsia" w:ascii="宋体" w:hAnsi="宋体" w:eastAsia="宋体" w:cs="宋体"/>
                <w:color w:val="auto"/>
                <w:sz w:val="22"/>
                <w:szCs w:val="22"/>
                <w:highlight w:val="none"/>
                <w:lang w:val="en-US" w:eastAsia="zh-CN" w:bidi="ar"/>
              </w:rPr>
              <w:t>135±15mm</w:t>
            </w:r>
            <w:r>
              <w:rPr>
                <w:rStyle w:val="202"/>
                <w:rFonts w:hint="eastAsia" w:ascii="宋体" w:hAnsi="宋体" w:eastAsia="宋体" w:cs="宋体"/>
                <w:color w:val="auto"/>
                <w:sz w:val="22"/>
                <w:szCs w:val="22"/>
                <w:highlight w:val="none"/>
                <w:lang w:val="en-US" w:eastAsia="zh-CN" w:bidi="ar"/>
              </w:rPr>
              <w:t>；轨枕最大钻取行程：</w:t>
            </w:r>
            <w:r>
              <w:rPr>
                <w:rStyle w:val="178"/>
                <w:rFonts w:hint="eastAsia" w:ascii="宋体" w:hAnsi="宋体" w:eastAsia="宋体" w:cs="宋体"/>
                <w:color w:val="auto"/>
                <w:sz w:val="22"/>
                <w:szCs w:val="22"/>
                <w:highlight w:val="none"/>
                <w:lang w:val="en-US" w:eastAsia="zh-CN" w:bidi="ar"/>
              </w:rPr>
              <w:t>200±10mm</w:t>
            </w:r>
            <w:r>
              <w:rPr>
                <w:rStyle w:val="202"/>
                <w:rFonts w:hint="eastAsia" w:ascii="宋体" w:hAnsi="宋体" w:eastAsia="宋体" w:cs="宋体"/>
                <w:color w:val="auto"/>
                <w:sz w:val="22"/>
                <w:szCs w:val="22"/>
                <w:highlight w:val="none"/>
                <w:lang w:val="en-US" w:eastAsia="zh-CN" w:bidi="ar"/>
              </w:rPr>
              <w:t>；岔枕钻取同心度偏差：</w:t>
            </w:r>
            <w:r>
              <w:rPr>
                <w:rStyle w:val="178"/>
                <w:rFonts w:hint="eastAsia" w:ascii="宋体" w:hAnsi="宋体" w:eastAsia="宋体" w:cs="宋体"/>
                <w:color w:val="auto"/>
                <w:sz w:val="22"/>
                <w:szCs w:val="22"/>
                <w:highlight w:val="none"/>
                <w:lang w:val="en-US" w:eastAsia="zh-CN" w:bidi="ar"/>
              </w:rPr>
              <w:t>&lt;</w:t>
            </w:r>
            <w:r>
              <w:rPr>
                <w:rStyle w:val="202"/>
                <w:rFonts w:hint="eastAsia" w:ascii="宋体" w:hAnsi="宋体" w:eastAsia="宋体" w:cs="宋体"/>
                <w:color w:val="auto"/>
                <w:sz w:val="22"/>
                <w:szCs w:val="22"/>
                <w:highlight w:val="none"/>
                <w:lang w:val="en-US" w:eastAsia="zh-CN" w:bidi="ar"/>
              </w:rPr>
              <w:t>1mm；钻头规格（mm）：（1）空心钻Ф40×260，Ф40×200；（2）麻花钻Ф14×150；（3）实心钻Ф40×200；钻机质量：</w:t>
            </w:r>
            <w:r>
              <w:rPr>
                <w:rStyle w:val="178"/>
                <w:rFonts w:hint="eastAsia" w:ascii="宋体" w:hAnsi="宋体" w:eastAsia="宋体" w:cs="宋体"/>
                <w:color w:val="auto"/>
                <w:sz w:val="22"/>
                <w:szCs w:val="22"/>
                <w:highlight w:val="none"/>
                <w:lang w:val="en-US" w:eastAsia="zh-CN" w:bidi="ar"/>
              </w:rPr>
              <w:t>≤</w:t>
            </w:r>
            <w:r>
              <w:rPr>
                <w:rStyle w:val="202"/>
                <w:rFonts w:hint="eastAsia" w:ascii="宋体" w:hAnsi="宋体" w:eastAsia="宋体" w:cs="宋体"/>
                <w:color w:val="auto"/>
                <w:sz w:val="22"/>
                <w:szCs w:val="22"/>
                <w:highlight w:val="none"/>
                <w:lang w:val="en-US" w:eastAsia="zh-CN" w:bidi="ar"/>
              </w:rPr>
              <w:t>15kg；采用双导向柱定位架体机构，质量：</w:t>
            </w:r>
            <w:r>
              <w:rPr>
                <w:rStyle w:val="178"/>
                <w:rFonts w:hint="eastAsia" w:ascii="宋体" w:hAnsi="宋体" w:eastAsia="宋体" w:cs="宋体"/>
                <w:color w:val="auto"/>
                <w:sz w:val="22"/>
                <w:szCs w:val="22"/>
                <w:highlight w:val="none"/>
                <w:lang w:val="en-US" w:eastAsia="zh-CN" w:bidi="ar"/>
              </w:rPr>
              <w:t>≤</w:t>
            </w:r>
            <w:r>
              <w:rPr>
                <w:rStyle w:val="202"/>
                <w:rFonts w:hint="eastAsia" w:ascii="宋体" w:hAnsi="宋体" w:eastAsia="宋体" w:cs="宋体"/>
                <w:color w:val="auto"/>
                <w:sz w:val="22"/>
                <w:szCs w:val="22"/>
                <w:highlight w:val="none"/>
                <w:lang w:val="en-US" w:eastAsia="zh-CN" w:bidi="ar"/>
              </w:rPr>
              <w:t>10kg；钻取机尺寸：680×410×260；双导向柱定位架体尺寸：380×300×370；必须具备正反向换向功能，保证使用中不卡机；钻取机尺寸：680×410×260mm（不含钻头），产品必须通过国家铁路行业铁路局证书。（含培训）</w:t>
            </w:r>
          </w:p>
          <w:p>
            <w:pPr>
              <w:keepNext w:val="0"/>
              <w:keepLines w:val="0"/>
              <w:widowControl/>
              <w:suppressLineNumbers w:val="0"/>
              <w:spacing w:line="360" w:lineRule="auto"/>
              <w:jc w:val="left"/>
              <w:textAlignment w:val="center"/>
              <w:rPr>
                <w:rStyle w:val="202"/>
                <w:rFonts w:hint="eastAsia" w:ascii="宋体" w:hAnsi="宋体" w:eastAsia="宋体" w:cs="宋体"/>
                <w:color w:val="auto"/>
                <w:sz w:val="22"/>
                <w:szCs w:val="22"/>
                <w:highlight w:val="none"/>
                <w:lang w:val="en-US" w:eastAsia="zh-CN" w:bidi="ar"/>
              </w:rPr>
            </w:pP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0</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20V锂电无刷冲击扳手</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型号：5758-Li-20；输出轴规格：19.05（3/4"）；螺栓规格：M16-M30；空载转速（转/分钟）：0-900/1000/1700；冲击频率（次/分钟）：0-1800/2000/2200；正转扭矩（牛米）：650/1000/1300；反转扭矩1900牛米；整机尺寸228*97*289mm，重量3.4KG；5.2Ah双电闪充，含36mm、46mm、20×28mm风筒(可单独市面采购）3种规格，风筒接口不一致需配置转换接头。</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1</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交流开关动作特性监测装置</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1）型号：TDR300。2)毎20ms比较一次电气量（包括电压、电流、功率、功率因数、1~25次谐波含量)，计算出各个电气量每一分钟的最大值、最小值和平均值，装置最大缓存一个小时的最值数椐。</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 纪录事件报告容量大，最大可纪录127条事件报告、255条SOE佔总。SOE分辨率小于1ms，所有记录信息掉电自保持。</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 采用大容量SD卡记录录波数据，循环存储1000条录波数椐，通过设定5kHz或10kHz采样频率，可分别纪录获取动作前400ms和动作后3600ms的采样数据或动作前200ms和动作后1800ms的采样数据，生成标准的C0MTRADE格式文件。录波数椐触发条件可设定为遥信变位或者模拟量阈值触发，并通过标准的FTP协议传输至后台电脑进行数椐分析。</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5)对外以太网接口，在线读取实时波形分析。6）硬件除交流开关动作特性监测装置主机，还包括配套交换机、专用系统调试机器、分析维护软件。</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2</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线号管打印机</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LM-550A；打印速度40mm/s；专用色带：LM-IR50B长度为110米。贴纸颜色：透明和黄色长度8米、白色长度16米；内部存储容量多达25W字符；色带卡匣型号为LM-RC500；带USB接口，可以计算机输出打印，或由U盘打印。</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3</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微水测量仪</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ATSD；测量范围：露点-60～+20℃（自动换算成ppmv(μl/l)）；工作电压：220VAC±10% 50Hz，功耗≤ 150W；露点精度：±1.5℃；分辨率：露点0.01℃，1ppmv，支持实时曲线功能；气体流量：0.4-0.7L/min，电子质量流量计；显示方式：黄绿屏LCD 显示，傻瓜化操作，操作更加方便；数据存储：可存储30 ～ 60 组历史记录；常州-爱特。配套现代重工35kV GIS开关柜使用</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4</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电动钢轨钻孔机</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型号CM-127；以下为技术要求：</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1.马达规格：110V满载11amps 1100 W；230V满负荷5amps 1100W</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2.空载转速：350～600rpm；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3.最大孔的切削能力：40mm直径；</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4.外形尺寸：高度265mm、exc.bottle宽度180mm、长度510mm；</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5.净重量：16.2kg；</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6.主轴孔：19.05（3 / 4）；</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7.安全功能：离合器和电子过载；</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5</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直流牵引保护测试仪</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DRT100;1)4路模拟量输出接口、4路模拟量输入接口、4路小信号输出接口、4路有源开入节点以及2路继电器输出；2)装置自动生成录波文件，减少测试人员的工作量；3)对外以太网接口，可在线读取实时波形分析；4)装置体积小、质量轻，便于携带。5)测试仪内置软件升级简单快捷，无需改动任何硬件；6)外接计算机运行状态下，软件功能丰富，操作界面简洁；7)采用先进的微电子、电力电子技术，输出范围±10VDC、±600mVDC等直流电压，输出范围±20mA、420mA等直流电流，输入范围±10VDC、±20mA、420mA，测试仪可实现如下直流继保保护功能测试：1）基本电气量测试；2）过流电压保护测试；3）di/dt保护测试；4）自定义曲线保护测试；5）自动重合闸测试；6）线路测试；7）ΔI增量保护测试</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1144"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6</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组合式液压套装拉拔器</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SKF-TMHP10,组件 1 x 机械臂——组装架 ；3 x 机械臂，120 mm (4.7 in.) ；3 x 机械臂，170 mm (6.7 in.) ；3 x 机械臂，200 mm (7.8 in.)；1 x 液压柱塞TMHS 100；3×延长杆，用于液压柱塞；50、100、150mm（2、4、6 in） ；1 × 顶头，带液压柱塞的中心点</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 xml:space="preserve">2 </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75" w:type="dxa"/>
            <w:noWrap/>
            <w:vAlign w:val="center"/>
          </w:tcPr>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7</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 xml:space="preserve"> 漏水检测仪 </w:t>
            </w:r>
          </w:p>
        </w:tc>
        <w:tc>
          <w:tcPr>
            <w:tcW w:w="4806" w:type="dxa"/>
            <w:noWrap w:val="0"/>
            <w:vAlign w:val="center"/>
          </w:tcPr>
          <w:p>
            <w:pPr>
              <w:keepNext w:val="0"/>
              <w:keepLines w:val="0"/>
              <w:widowControl/>
              <w:suppressLineNumbers w:val="0"/>
              <w:spacing w:line="360" w:lineRule="auto"/>
              <w:ind w:firstLine="240" w:firstLineChars="100"/>
              <w:jc w:val="left"/>
              <w:textAlignment w:val="center"/>
              <w:rPr>
                <w:rFonts w:hint="eastAsia" w:ascii="宋体" w:hAnsi="宋体" w:eastAsia="宋体" w:cs="宋体"/>
                <w:color w:val="auto"/>
                <w:sz w:val="22"/>
                <w:szCs w:val="22"/>
                <w:highlight w:val="none"/>
              </w:rPr>
            </w:pPr>
            <w:r>
              <w:rPr>
                <w:rFonts w:hint="eastAsia"/>
                <w:color w:val="auto"/>
                <w:sz w:val="24"/>
                <w:highlight w:val="none"/>
                <w:lang w:val="en-US" w:eastAsia="zh-CN"/>
              </w:rPr>
              <w:t>型号：</w:t>
            </w:r>
            <w:r>
              <w:rPr>
                <w:rFonts w:hint="eastAsia"/>
                <w:color w:val="auto"/>
                <w:sz w:val="24"/>
                <w:highlight w:val="none"/>
              </w:rPr>
              <w:t>PQWT-CL300</w:t>
            </w:r>
            <w:r>
              <w:rPr>
                <w:rFonts w:hint="eastAsia"/>
                <w:color w:val="auto"/>
                <w:sz w:val="24"/>
                <w:highlight w:val="none"/>
                <w:lang w:eastAsia="zh-CN"/>
              </w:rPr>
              <w:t>；</w:t>
            </w:r>
            <w:r>
              <w:rPr>
                <w:rFonts w:hint="eastAsia" w:ascii="宋体" w:hAnsi="宋体" w:eastAsia="宋体" w:cs="宋体"/>
                <w:i w:val="0"/>
                <w:color w:val="auto"/>
                <w:kern w:val="0"/>
                <w:sz w:val="22"/>
                <w:szCs w:val="22"/>
                <w:highlight w:val="none"/>
                <w:u w:val="none"/>
                <w:lang w:val="en-US" w:eastAsia="zh-CN" w:bidi="ar"/>
              </w:rPr>
              <w:t>频率分档：31个中心频率和常用频段；音频放大增益：100dB内可调；频率区间：1～6000Hz；工作模式：1、频谱分析模式，2、滤波分析模式，3、精测模式，4、点测模式；7寸高清数字触摸彩色液晶屏；拥有长时间录音和存储、回放功能，关机不丢失，可删除和重复录制；有3.7V4000mAH可充电锂电池两节、8.4V直充职能充电；测深3米</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437" w:type="dxa"/>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 xml:space="preserve">1 </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75" w:type="dxa"/>
            <w:noWrap/>
            <w:vAlign w:val="center"/>
          </w:tcPr>
          <w:p>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w:t>
            </w:r>
          </w:p>
        </w:tc>
        <w:tc>
          <w:tcPr>
            <w:tcW w:w="139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除湿机</w:t>
            </w:r>
          </w:p>
        </w:tc>
        <w:tc>
          <w:tcPr>
            <w:tcW w:w="480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型号：DH40EF，适用面积：51㎡-100㎡,编号：1511126,毛重：23.56kg,额定功率650W，水箱容量4L，日除湿量40L，净重22KG，额定电压220V，产品尺寸（mm）：396x286x625，除湿原理：压缩机式，排水方式：水箱/外接排水管</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437"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w:t>
            </w:r>
          </w:p>
        </w:tc>
        <w:tc>
          <w:tcPr>
            <w:tcW w:w="1144"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60天</w:t>
            </w:r>
          </w:p>
        </w:tc>
      </w:tr>
    </w:tbl>
    <w:p>
      <w:pPr>
        <w:spacing w:line="360" w:lineRule="auto"/>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2、相关技术及要求</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2.1投标人提供的货物（包括零部件）必须是制造商合法生产的、全新的、未使用过的，并完全符合制造商质量检测标准和国家质量检测标准，在中国境内可依常规安全合法使用；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投标人保证对其销售的货物拥有完全的所有权/处置权或取得相关授权，无任何著作权、商标权或其他知识产权方面的权利限制或瑕疵。若因此给采购人造成损失的，投标人应承担全部赔偿责任。</w:t>
      </w:r>
    </w:p>
    <w:p>
      <w:pPr>
        <w:spacing w:line="360" w:lineRule="auto"/>
        <w:ind w:firstLine="440" w:firstLineChars="2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2.3 产品兼容要求（提供响应承诺函，加盖公章）</w:t>
      </w:r>
    </w:p>
    <w:p>
      <w:pPr>
        <w:spacing w:line="360" w:lineRule="auto"/>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投标人需承诺投标及提供的货物（包括零部件）必须与东莞轨道</w:t>
      </w:r>
      <w:r>
        <w:rPr>
          <w:rFonts w:hint="eastAsia" w:ascii="宋体" w:hAnsi="宋体" w:cs="宋体"/>
          <w:b/>
          <w:color w:val="auto"/>
          <w:sz w:val="22"/>
          <w:szCs w:val="22"/>
          <w:highlight w:val="none"/>
          <w:u w:val="single"/>
          <w:lang w:val="en-US" w:eastAsia="zh-CN"/>
        </w:rPr>
        <w:t>2</w:t>
      </w:r>
      <w:r>
        <w:rPr>
          <w:rFonts w:hint="eastAsia" w:ascii="宋体" w:hAnsi="宋体" w:eastAsia="宋体" w:cs="宋体"/>
          <w:b/>
          <w:color w:val="auto"/>
          <w:sz w:val="22"/>
          <w:szCs w:val="22"/>
          <w:highlight w:val="none"/>
          <w:u w:val="single"/>
        </w:rPr>
        <w:t>号线在用设备系统硬/软件相匹配并兼容；若投标人选用替代产品，则视其投标文件未实质响应招标文件，且无法满足业主使用要求，将被视为无效投标文件；若因产品质量问题给采购人造成损失或引发安全事故的，由投标人承担相应赔偿责任。</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2.4进口产品须具备原产地证明或合法进货渠道证明。</w:t>
      </w:r>
    </w:p>
    <w:p>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2.5产品最低质保期为1年。</w:t>
      </w:r>
    </w:p>
    <w:p>
      <w:pPr>
        <w:rPr>
          <w:rFonts w:ascii="宋体" w:hAnsi="宋体"/>
          <w:color w:val="auto"/>
          <w:sz w:val="22"/>
          <w:szCs w:val="22"/>
          <w:highlight w:val="none"/>
        </w:rPr>
      </w:pPr>
      <w:bookmarkStart w:id="182" w:name="_Toc441844110"/>
    </w:p>
    <w:p>
      <w:pPr>
        <w:rPr>
          <w:rFonts w:ascii="Times New Roman" w:hAnsi="Times New Roman" w:eastAsia="宋体"/>
          <w:color w:val="auto"/>
          <w:highlight w:val="none"/>
        </w:rPr>
      </w:pPr>
      <w:bookmarkStart w:id="183" w:name="_Toc61529863"/>
      <w:r>
        <w:rPr>
          <w:rFonts w:ascii="Times New Roman" w:hAnsi="Times New Roman" w:eastAsia="宋体"/>
          <w:color w:val="auto"/>
          <w:highlight w:val="none"/>
        </w:rPr>
        <w:br w:type="page"/>
      </w:r>
    </w:p>
    <w:p>
      <w:pPr>
        <w:pStyle w:val="3"/>
        <w:jc w:val="center"/>
        <w:rPr>
          <w:rFonts w:ascii="Times New Roman" w:hAnsi="Times New Roman" w:eastAsia="宋体"/>
          <w:color w:val="auto"/>
          <w:highlight w:val="none"/>
        </w:rPr>
      </w:pPr>
    </w:p>
    <w:p>
      <w:pPr>
        <w:pStyle w:val="3"/>
        <w:jc w:val="center"/>
        <w:rPr>
          <w:rFonts w:ascii="宋体" w:hAnsi="宋体"/>
          <w:color w:val="auto"/>
          <w:sz w:val="22"/>
          <w:szCs w:val="22"/>
          <w:highlight w:val="none"/>
        </w:rPr>
      </w:pPr>
      <w:r>
        <w:rPr>
          <w:rFonts w:ascii="Times New Roman" w:hAnsi="Times New Roman" w:eastAsia="宋体"/>
          <w:color w:val="auto"/>
          <w:highlight w:val="none"/>
        </w:rPr>
        <w:t>第五章 合同格式</w:t>
      </w:r>
      <w:bookmarkEnd w:id="182"/>
      <w:bookmarkEnd w:id="183"/>
    </w:p>
    <w:p>
      <w:pPr>
        <w:jc w:val="center"/>
        <w:rPr>
          <w:color w:val="auto"/>
          <w:highlight w:val="none"/>
        </w:rPr>
      </w:pPr>
      <w:r>
        <w:rPr>
          <w:color w:val="auto"/>
          <w:highlight w:val="none"/>
        </w:rPr>
        <w:br w:type="page"/>
      </w:r>
      <w:bookmarkStart w:id="184" w:name="_Toc441844111"/>
    </w:p>
    <w:p>
      <w:pPr>
        <w:snapToGrid w:val="0"/>
        <w:spacing w:line="360" w:lineRule="auto"/>
        <w:jc w:val="center"/>
        <w:rPr>
          <w:rFonts w:ascii="宋体" w:hAnsi="宋体"/>
          <w:color w:val="auto"/>
          <w:highlight w:val="none"/>
        </w:rPr>
      </w:pPr>
    </w:p>
    <w:p>
      <w:pPr>
        <w:snapToGrid w:val="0"/>
        <w:spacing w:line="360" w:lineRule="auto"/>
        <w:jc w:val="center"/>
        <w:rPr>
          <w:rFonts w:ascii="宋体" w:hAnsi="宋体"/>
          <w:color w:val="auto"/>
          <w:sz w:val="48"/>
          <w:szCs w:val="48"/>
          <w:highlight w:val="none"/>
        </w:rPr>
      </w:pPr>
      <w:r>
        <w:rPr>
          <w:rFonts w:hint="eastAsia" w:ascii="宋体" w:hAnsi="宋体"/>
          <w:color w:val="auto"/>
          <w:sz w:val="48"/>
          <w:szCs w:val="48"/>
          <w:highlight w:val="none"/>
        </w:rPr>
        <w:t>东莞市轨道交通有限公司</w:t>
      </w:r>
    </w:p>
    <w:p>
      <w:pPr>
        <w:snapToGrid w:val="0"/>
        <w:spacing w:line="360" w:lineRule="auto"/>
        <w:jc w:val="center"/>
        <w:rPr>
          <w:rFonts w:ascii="宋体" w:hAnsi="宋体"/>
          <w:color w:val="auto"/>
          <w:sz w:val="36"/>
          <w:szCs w:val="36"/>
          <w:highlight w:val="none"/>
        </w:rPr>
      </w:pPr>
    </w:p>
    <w:p>
      <w:pPr>
        <w:snapToGrid w:val="0"/>
        <w:spacing w:line="360" w:lineRule="auto"/>
        <w:jc w:val="center"/>
        <w:rPr>
          <w:rFonts w:ascii="宋体" w:hAnsi="宋体"/>
          <w:color w:val="auto"/>
          <w:sz w:val="36"/>
          <w:szCs w:val="36"/>
          <w:highlight w:val="none"/>
        </w:rPr>
      </w:pPr>
    </w:p>
    <w:p>
      <w:pPr>
        <w:snapToGrid w:val="0"/>
        <w:spacing w:line="360" w:lineRule="auto"/>
        <w:jc w:val="center"/>
        <w:rPr>
          <w:rFonts w:ascii="宋体" w:hAnsi="宋体"/>
          <w:color w:val="auto"/>
          <w:sz w:val="48"/>
          <w:szCs w:val="48"/>
          <w:highlight w:val="none"/>
        </w:rPr>
      </w:pPr>
      <w:r>
        <w:rPr>
          <w:rFonts w:hint="eastAsia" w:ascii="宋体" w:hAnsi="宋体"/>
          <w:color w:val="auto"/>
          <w:sz w:val="48"/>
          <w:szCs w:val="48"/>
          <w:highlight w:val="none"/>
        </w:rPr>
        <w:t>运营分公司202</w:t>
      </w:r>
      <w:r>
        <w:rPr>
          <w:rFonts w:hint="eastAsia" w:ascii="宋体" w:hAnsi="宋体"/>
          <w:color w:val="auto"/>
          <w:sz w:val="48"/>
          <w:szCs w:val="48"/>
          <w:highlight w:val="none"/>
          <w:lang w:val="en-US" w:eastAsia="zh-CN"/>
        </w:rPr>
        <w:t>1</w:t>
      </w:r>
      <w:r>
        <w:rPr>
          <w:rFonts w:hint="eastAsia" w:ascii="宋体" w:hAnsi="宋体"/>
          <w:color w:val="auto"/>
          <w:sz w:val="48"/>
          <w:szCs w:val="48"/>
          <w:highlight w:val="none"/>
        </w:rPr>
        <w:t>年生产设备项目</w:t>
      </w:r>
    </w:p>
    <w:p>
      <w:pPr>
        <w:snapToGrid w:val="0"/>
        <w:spacing w:line="360" w:lineRule="auto"/>
        <w:jc w:val="right"/>
        <w:rPr>
          <w:rFonts w:ascii="宋体" w:hAnsi="宋体" w:cs="Arial"/>
          <w:color w:val="auto"/>
          <w:sz w:val="36"/>
          <w:szCs w:val="36"/>
          <w:highlight w:val="none"/>
        </w:rPr>
      </w:pPr>
    </w:p>
    <w:p>
      <w:pPr>
        <w:snapToGrid w:val="0"/>
        <w:spacing w:line="360" w:lineRule="auto"/>
        <w:jc w:val="center"/>
        <w:rPr>
          <w:rFonts w:ascii="宋体" w:hAnsi="宋体" w:cs="Arial"/>
          <w:color w:val="auto"/>
          <w:sz w:val="30"/>
          <w:szCs w:val="30"/>
          <w:highlight w:val="none"/>
        </w:rPr>
      </w:pPr>
      <w:r>
        <w:rPr>
          <w:rFonts w:hint="eastAsia" w:ascii="宋体" w:hAnsi="宋体" w:cs="Arial"/>
          <w:color w:val="auto"/>
          <w:sz w:val="30"/>
          <w:szCs w:val="30"/>
          <w:highlight w:val="none"/>
        </w:rPr>
        <w:t xml:space="preserve">合同编号：  </w:t>
      </w:r>
    </w:p>
    <w:p>
      <w:pPr>
        <w:snapToGrid w:val="0"/>
        <w:spacing w:line="360" w:lineRule="auto"/>
        <w:ind w:right="28"/>
        <w:rPr>
          <w:rFonts w:ascii="宋体" w:hAnsi="宋体" w:cs="Arial"/>
          <w:color w:val="auto"/>
          <w:sz w:val="36"/>
          <w:szCs w:val="36"/>
          <w:highlight w:val="none"/>
        </w:rPr>
      </w:pPr>
    </w:p>
    <w:p>
      <w:pPr>
        <w:snapToGrid w:val="0"/>
        <w:spacing w:line="360" w:lineRule="auto"/>
        <w:ind w:right="28"/>
        <w:rPr>
          <w:rFonts w:ascii="宋体" w:hAnsi="宋体" w:cs="Arial"/>
          <w:color w:val="auto"/>
          <w:sz w:val="36"/>
          <w:szCs w:val="36"/>
          <w:highlight w:val="none"/>
        </w:rPr>
      </w:pPr>
    </w:p>
    <w:p>
      <w:pPr>
        <w:snapToGrid w:val="0"/>
        <w:spacing w:line="360" w:lineRule="auto"/>
        <w:ind w:right="28"/>
        <w:rPr>
          <w:rFonts w:ascii="宋体" w:hAnsi="宋体" w:cs="Arial"/>
          <w:color w:val="auto"/>
          <w:sz w:val="36"/>
          <w:szCs w:val="36"/>
          <w:highlight w:val="none"/>
        </w:rPr>
      </w:pPr>
    </w:p>
    <w:p>
      <w:pPr>
        <w:snapToGrid w:val="0"/>
        <w:spacing w:line="360" w:lineRule="auto"/>
        <w:ind w:right="28"/>
        <w:rPr>
          <w:rFonts w:ascii="宋体" w:hAnsi="宋体" w:cs="Arial"/>
          <w:color w:val="auto"/>
          <w:sz w:val="36"/>
          <w:szCs w:val="36"/>
          <w:highlight w:val="none"/>
        </w:rPr>
      </w:pPr>
    </w:p>
    <w:p>
      <w:pPr>
        <w:spacing w:line="360" w:lineRule="auto"/>
        <w:rPr>
          <w:rFonts w:ascii="宋体" w:hAnsi="宋体"/>
          <w:bCs/>
          <w:color w:val="auto"/>
          <w:sz w:val="30"/>
          <w:szCs w:val="30"/>
          <w:highlight w:val="none"/>
        </w:rPr>
      </w:pPr>
    </w:p>
    <w:p>
      <w:pPr>
        <w:spacing w:line="360" w:lineRule="auto"/>
        <w:rPr>
          <w:rFonts w:ascii="宋体" w:hAnsi="宋体"/>
          <w:bCs/>
          <w:color w:val="auto"/>
          <w:sz w:val="30"/>
          <w:szCs w:val="30"/>
          <w:highlight w:val="none"/>
        </w:rPr>
      </w:pPr>
    </w:p>
    <w:p>
      <w:pPr>
        <w:spacing w:line="360" w:lineRule="auto"/>
        <w:ind w:firstLine="2100" w:firstLineChars="700"/>
        <w:rPr>
          <w:rFonts w:ascii="宋体" w:hAnsi="宋体"/>
          <w:bCs/>
          <w:color w:val="auto"/>
          <w:sz w:val="30"/>
          <w:szCs w:val="30"/>
          <w:highlight w:val="none"/>
        </w:rPr>
      </w:pPr>
      <w:r>
        <w:rPr>
          <w:rFonts w:hint="eastAsia" w:ascii="宋体" w:hAnsi="宋体"/>
          <w:bCs/>
          <w:color w:val="auto"/>
          <w:sz w:val="30"/>
          <w:szCs w:val="30"/>
          <w:highlight w:val="none"/>
        </w:rPr>
        <w:t>甲方：东莞市轨道交通有限公司</w:t>
      </w:r>
    </w:p>
    <w:p>
      <w:pPr>
        <w:spacing w:line="360" w:lineRule="auto"/>
        <w:ind w:firstLine="2100" w:firstLineChars="700"/>
        <w:rPr>
          <w:rFonts w:ascii="宋体" w:hAnsi="宋体"/>
          <w:bCs/>
          <w:color w:val="auto"/>
          <w:sz w:val="30"/>
          <w:szCs w:val="30"/>
          <w:highlight w:val="none"/>
        </w:rPr>
      </w:pPr>
      <w:r>
        <w:rPr>
          <w:rFonts w:hint="eastAsia" w:ascii="宋体" w:hAnsi="宋体"/>
          <w:bCs/>
          <w:color w:val="auto"/>
          <w:sz w:val="30"/>
          <w:szCs w:val="30"/>
          <w:highlight w:val="none"/>
        </w:rPr>
        <w:t>乙方：</w:t>
      </w:r>
    </w:p>
    <w:p>
      <w:pPr>
        <w:spacing w:line="360" w:lineRule="auto"/>
        <w:rPr>
          <w:rFonts w:ascii="宋体" w:hAnsi="宋体"/>
          <w:bCs/>
          <w:color w:val="auto"/>
          <w:sz w:val="30"/>
          <w:szCs w:val="30"/>
          <w:highlight w:val="none"/>
        </w:rPr>
      </w:pPr>
    </w:p>
    <w:p>
      <w:pPr>
        <w:tabs>
          <w:tab w:val="left" w:pos="840"/>
        </w:tabs>
        <w:spacing w:line="360" w:lineRule="auto"/>
        <w:rPr>
          <w:rFonts w:ascii="Times New Roman" w:hAnsi="Times New Roman"/>
          <w:color w:val="auto"/>
          <w:sz w:val="22"/>
          <w:szCs w:val="22"/>
          <w:highlight w:val="none"/>
        </w:rPr>
      </w:pPr>
      <w:r>
        <w:rPr>
          <w:rFonts w:ascii="Times New Roman" w:hAnsi="Times New Roman"/>
          <w:b/>
          <w:color w:val="auto"/>
          <w:sz w:val="22"/>
          <w:szCs w:val="22"/>
          <w:highlight w:val="none"/>
        </w:rPr>
        <w:t>注：本合同仅为参考文本，合同签订双方可根据项目的具体要求进行修订。</w:t>
      </w:r>
    </w:p>
    <w:p>
      <w:pPr>
        <w:spacing w:line="360" w:lineRule="auto"/>
        <w:rPr>
          <w:rFonts w:ascii="宋体" w:hAnsi="宋体"/>
          <w:bCs/>
          <w:color w:val="auto"/>
          <w:sz w:val="30"/>
          <w:szCs w:val="30"/>
          <w:highlight w:val="none"/>
        </w:rPr>
      </w:pPr>
    </w:p>
    <w:p>
      <w:pPr>
        <w:spacing w:line="360" w:lineRule="auto"/>
        <w:rPr>
          <w:rFonts w:hint="eastAsia" w:ascii="宋体" w:hAnsi="宋体" w:eastAsia="宋体" w:cs="宋体"/>
          <w:color w:val="auto"/>
          <w:sz w:val="22"/>
          <w:szCs w:val="22"/>
          <w:highlight w:val="none"/>
        </w:rPr>
      </w:pPr>
      <w:r>
        <w:rPr>
          <w:rFonts w:ascii="宋体" w:hAnsi="宋体"/>
          <w:color w:val="auto"/>
          <w:sz w:val="28"/>
          <w:szCs w:val="28"/>
          <w:highlight w:val="none"/>
        </w:rPr>
        <w:br w:type="page"/>
      </w:r>
      <w:r>
        <w:rPr>
          <w:rFonts w:hint="eastAsia" w:ascii="宋体" w:hAnsi="宋体" w:eastAsia="宋体" w:cs="宋体"/>
          <w:color w:val="auto"/>
          <w:sz w:val="22"/>
          <w:szCs w:val="22"/>
          <w:highlight w:val="none"/>
        </w:rPr>
        <w:t>甲方：                             乙方：</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                             电话：</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                             传真：</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                             地址：</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邮编：                             邮编：</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本合同为 </w:t>
      </w:r>
      <w:r>
        <w:rPr>
          <w:rFonts w:hint="eastAsia" w:ascii="宋体" w:hAnsi="宋体" w:eastAsia="宋体" w:cs="宋体"/>
          <w:color w:val="auto"/>
          <w:sz w:val="22"/>
          <w:szCs w:val="22"/>
          <w:highlight w:val="none"/>
          <w:u w:val="single"/>
        </w:rPr>
        <w:t>东莞市轨道交通有限公司运营分公司2021年生产设备采购项目</w:t>
      </w:r>
      <w:r>
        <w:rPr>
          <w:rFonts w:hint="eastAsia" w:ascii="宋体" w:hAnsi="宋体" w:eastAsia="宋体" w:cs="宋体"/>
          <w:color w:val="auto"/>
          <w:sz w:val="22"/>
          <w:szCs w:val="22"/>
          <w:highlight w:val="none"/>
        </w:rPr>
        <w:t>采购合同。</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采购项目的采购结果，按照《中华人民共和国政府采购法》、《中华人民共和国合同法》的规定，经双方协商一致，本着平等互利和诚实信用的原则，签订本合同，并共同遵守如下条款：</w:t>
      </w:r>
    </w:p>
    <w:p>
      <w:pPr>
        <w:numPr>
          <w:ilvl w:val="0"/>
          <w:numId w:val="62"/>
        </w:numPr>
        <w:spacing w:line="360" w:lineRule="auto"/>
        <w:ind w:left="426" w:hanging="42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下列文件应作为本协议的一部分看待：</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（一）补充协议（如果有）；</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（二）本协议书；</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（三）合同谈判记录；</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（四）中标通知书；</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（五）价格部分文件；</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（六）合同附件；</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（七）联合体协议书（如有）；</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（八）投标文件及澄清补充文件及其他补充资料；</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（九）招标文件及澄清补充文件及其他补充资料。</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上述文件应认为是互为补充和解释的，但如有模棱两可或互相矛盾之处，以上所列顺序在前为准。</w:t>
      </w:r>
    </w:p>
    <w:p>
      <w:pPr>
        <w:numPr>
          <w:ilvl w:val="0"/>
          <w:numId w:val="62"/>
        </w:numPr>
        <w:spacing w:line="360" w:lineRule="auto"/>
        <w:ind w:left="426" w:hanging="42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合同金额</w:t>
      </w:r>
    </w:p>
    <w:p>
      <w:pPr>
        <w:spacing w:line="360" w:lineRule="auto"/>
        <w:ind w:firstLine="660" w:firstLineChars="3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采购项目合同金额为人民币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元），不含税金额为人民币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元），税额为人民币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pP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价款和发票以不含税价为准，在合同执行中由于税务机关调整税率的，相应调整税额。</w:t>
      </w:r>
    </w:p>
    <w:p>
      <w:pPr>
        <w:spacing w:line="360" w:lineRule="auto"/>
        <w:ind w:firstLine="660" w:firstLineChars="3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本合同金额（单价和总价）已包含了乙方的设计、生产、随机零配件、包装、运输、装卸、保险、技术服务、检验检测、培训、质保期服务、售后期服务等发生的所有可预见和不可预见的费用及一切税费。</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三、货物内容</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详见附件(合同供货清单)。</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四、货物要求</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1.货物为原制造商制造的全新产品，整机无污染，无侵权行为、表面无划损、无任何缺陷隐患，在中国境内可依常规安全合法使用。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2.交付验收标准依次序对照适用标准为：①符合中华人民共和国安全质量标准、环保标准或行业标准；②符合采购文件和响应承诺中甲方认可的合理最佳配置、参数及各项要求；③货物来源国官方标准。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3.进口产品必须具备原产地证明和商检局的检验证明及合法进货渠道证明。</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4.货物为原厂商未启封全新包装，具出厂合格证、序列号、包装箱号与出厂批号一致，并可追索查阅。</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5.如乙方所供产品有使用时效性要求的，必须保证剩余有效使用期限或质保期最少为供货产品有效使用期限或质保期的三分之二时间以上，否则，甲方有权拒收。</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6.乙方应将用户手册、保修手册、有关单证资料及配备件、随机工具等交付给甲方，使用操作及安全须知等重要资料应附有中文说明。</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7.乙方所交付货物的技术规格和要求应当满足或优于用户需求书中的技术规格和要求，且与甲方要求的样品（乙方提供）保持一致。</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8.乙方提供的货物（包括零部件）必须与东莞轨道2 号线在用设备系统硬/软件相匹配并兼容。</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五、交货要求</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1.交货时间</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时间自合同生效之日算起，具体交货期详见实际供货清单（交货期）。乙方负责货物的运输、装卸、保管、验收及相关服务等，并在甲方指定交货地点交付甲方验收；乙方交付货物时应向甲方提供货物的使用说明及其他相关资料。</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2.交货地点</w:t>
      </w:r>
    </w:p>
    <w:p>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交货地点为东莞市茶山镇茶山北路东城车辆段（甲方指定位置）；物资部仓储管理室收货联系人：     先生，联系电话：0769-88176836，请在发货前提前一天通知仓库联系人。</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3.运输、装卸、保险</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乙方负责货物的运输、装卸、保险及相关服务，并在甲方指定交货地点交付甲方验收。乙方在交付货物时应</w:t>
      </w:r>
      <w:r>
        <w:rPr>
          <w:rFonts w:hint="eastAsia" w:ascii="宋体" w:hAnsi="宋体" w:eastAsia="宋体" w:cs="宋体"/>
          <w:color w:val="auto"/>
          <w:sz w:val="22"/>
          <w:szCs w:val="22"/>
          <w:highlight w:val="none"/>
          <w:lang w:val="en-US" w:eastAsia="zh-CN"/>
        </w:rPr>
        <w:t>严格遵循甲方的《供货须知及安全</w:t>
      </w:r>
      <w:r>
        <w:rPr>
          <w:rFonts w:hint="eastAsia" w:ascii="宋体" w:hAnsi="宋体" w:cs="宋体"/>
          <w:color w:val="auto"/>
          <w:sz w:val="22"/>
          <w:szCs w:val="22"/>
          <w:highlight w:val="none"/>
          <w:lang w:val="en-US" w:eastAsia="zh-CN"/>
        </w:rPr>
        <w:t>责任</w:t>
      </w:r>
      <w:r>
        <w:rPr>
          <w:rFonts w:hint="eastAsia" w:ascii="宋体" w:hAnsi="宋体" w:eastAsia="宋体" w:cs="宋体"/>
          <w:color w:val="auto"/>
          <w:sz w:val="22"/>
          <w:szCs w:val="22"/>
          <w:highlight w:val="none"/>
          <w:lang w:val="en-US" w:eastAsia="zh-CN"/>
        </w:rPr>
        <w:t>承诺书》（附件6）</w:t>
      </w:r>
      <w:r>
        <w:rPr>
          <w:rFonts w:hint="eastAsia" w:ascii="宋体" w:hAnsi="宋体" w:eastAsia="宋体" w:cs="宋体"/>
          <w:color w:val="auto"/>
          <w:sz w:val="22"/>
          <w:szCs w:val="22"/>
          <w:highlight w:val="none"/>
        </w:rPr>
        <w:t>。乙方对所有货物和其他相关货物的包装、装载、运输、接收、卸货、保存和保护负责。乙方应保障并使甲方免于因货物运输的损坏而遭受损害、损失和产生的其他费用，并协商及支付由于运输所导致的索赔。</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乙方应办理货物在运抵合同规定地点途中的保险及乙方派往甲方服务人员的保险，保险费已包含在合同价格中。</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4.包装</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（1）除合同另有规定外，乙方提供的全部货物均按标准保护措施进行包装，这类包装应适应于远距离、防潮、防震、防锈和防野蛮装卸，以确保货物安全无损运抵指定地点。</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（2）每一个包装箱内应附一份详细装箱单和质量证书。</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（3）乙方应在每件包装箱的相邻四侧以醒目的中文做出下列标记：</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,1)</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收货人；</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,2)</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合同号；</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,3)</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目的地；</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,4)</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货物名称；</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,5)</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箱号；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,6)</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毛重/净重； </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,7)</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尺寸｛长×宽×高，以厘米或cm计｝；</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在每件包装箱的两侧用中文和适当的运输标记，标明“重心”和“吊装点”，以便装卸和搬运。根据设备的不同特点和运输的不同要求，乙方应在包装箱上清楚地标注“小心轻放”、“请勿倒置”、“防潮”等字样和其它适当的标志。</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（5）若乙方在进行货物装卸或配套服务时造成第三方人身或财务损失的，由乙方承担赔偿责任。</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六、检验与验收</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1.在交货前，乙方应保证货物的包装完整无损。</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2.货物运抵现场后，乙方应自费派遣人员前往甲方现场参加开箱检验。如果乙方代表未能及时到达现场，甲方有权单独进行开箱检验。</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3.买卖双方应对货物的包装、书面资料、外观、规格、数量进行检查和检验。</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详细检验和验收方法按照东莞市轨道交通有限公司运营分公司相关规定执行。</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5.最终验收：合同规定质保期满后30天内，甲方应组织最终验收，以确认乙方所提供货物满足本合同规定，验收合格后，甲方开具最终验收合格证书。</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七、质量保证</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保证合同项下提供的全部货物必须是全新的并且没有设计、材料及工艺上的缺陷，完全符合合同规定的质量、规格、性能的要求和质量标准；如属于进口产品，需有相关产品质量合格证明或合法渠道证明，且需提供中文说明书和相关资料并提供检验和验收方法、步骤及内容。严禁提供假冒伪劣产品，一经发现，甲方有权解除本合同，并按违约或欺诈行为追究责任。</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2.在正常操作条件下，乙方保证合同项下乙方所提供的货物不会因为任何潜在缺陷发生安全事故；若因乙方所提供的货物缺陷导致甲方损失，由乙方承担全部责任。</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乙方接到甲方要求其弥补缺陷的通知后，没有在商定的时间内采取补救措施，在书面通知乙方后，甲方可以自行采取补救措施，但其风险和费用将由乙方负责，同时甲方根据合同规定对乙方行使的其它权利不受影响。</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4.需送检的货物，乙方负责支付该部分计量检测费用；如甲方初次送检出现不合格产品，乙方应无条件退换。在任何情况下，任何检验、测试的风险由乙方承担，任何检验、测试的结果均不免除乙方的合同责任。</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八、付款</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本合同价格支付应通过甲方在中国指定的银行支付给乙方在中国指定的银行账户。</w:t>
      </w:r>
    </w:p>
    <w:p>
      <w:pPr>
        <w:tabs>
          <w:tab w:val="left" w:pos="735"/>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1.履约保证金</w:t>
      </w:r>
    </w:p>
    <w:p>
      <w:pPr>
        <w:tabs>
          <w:tab w:val="left" w:pos="735"/>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（1）本合同履约保证金为（合同价的5%）人民币      元整(小写: ¥      元)，由乙方在双方签订合同前提交，转账时需在备注上写明项目名称，甲方开具相应收据。</w:t>
      </w:r>
    </w:p>
    <w:p>
      <w:pPr>
        <w:autoSpaceDE w:val="0"/>
        <w:autoSpaceDN w:val="0"/>
        <w:adjustRightInd w:val="0"/>
        <w:snapToGrid w:val="0"/>
        <w:spacing w:line="360" w:lineRule="auto"/>
        <w:ind w:right="32"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单位名称：东莞市轨道交通有限公司</w:t>
      </w:r>
    </w:p>
    <w:p>
      <w:pPr>
        <w:autoSpaceDE w:val="0"/>
        <w:autoSpaceDN w:val="0"/>
        <w:adjustRightInd w:val="0"/>
        <w:snapToGrid w:val="0"/>
        <w:spacing w:line="360" w:lineRule="auto"/>
        <w:ind w:right="32"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开户行：工商银行东莞市新城支行</w:t>
      </w:r>
    </w:p>
    <w:p>
      <w:pPr>
        <w:autoSpaceDE w:val="0"/>
        <w:autoSpaceDN w:val="0"/>
        <w:adjustRightInd w:val="0"/>
        <w:snapToGrid w:val="0"/>
        <w:spacing w:line="360" w:lineRule="auto"/>
        <w:ind w:right="32"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履约保证金账号：2010021109200180266</w:t>
      </w:r>
    </w:p>
    <w:p>
      <w:pPr>
        <w:tabs>
          <w:tab w:val="left" w:pos="735"/>
        </w:tabs>
        <w:spacing w:line="360" w:lineRule="auto"/>
        <w:ind w:firstLine="2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乙方完成合同所有供货，经甲方验收合格并通过质保期后（履约保证金转为质量保证金），乙方按甲方规定流程提交相关资料进行申请退还，经过甲方审批通过后，甲方将在20个工作日内办理全额无息退还。如在退还履约保证金时发生本合同约定的费用，则在履约保证金金额内扣减相应费用后将履约保证金余额退还。</w:t>
      </w:r>
    </w:p>
    <w:p>
      <w:pPr>
        <w:tabs>
          <w:tab w:val="left" w:pos="735"/>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乙方未能按合同规定履行相应合同义务，甲方有权从履约保证金中取得补偿；如乙方不履行合同的，甲方将没收履约保证金。乙方被扣除履约保证金的部分应在10个工作日内补齐，如遇合同支付阶段时，乙方应在甲方进行合同支付前将履约保证金补齐，否则甲方有权提出终止合同和使用其它备选供货商，按合同违约处理，由此给甲方带来的经济损失由乙方承担。</w:t>
      </w:r>
    </w:p>
    <w:p>
      <w:pPr>
        <w:overflowPunct w:val="0"/>
        <w:autoSpaceDE w:val="0"/>
        <w:autoSpaceDN w:val="0"/>
        <w:adjustRightIn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（4）履约保证金应采用与本合同价格相同的货币。</w:t>
      </w:r>
    </w:p>
    <w:p>
      <w:pPr>
        <w:overflowPunct w:val="0"/>
        <w:autoSpaceDE w:val="0"/>
        <w:autoSpaceDN w:val="0"/>
        <w:adjustRightIn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验收合格付款</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（1）合同签订后，根据甲方供货通知，成交供应商完成批次货物交付并验收合格，甲方在收到由乙方提供的以下材料并经甲方审核无误后40个工作日内支付至该批货物货款总额的100%，乙方须提供： </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a.乙方开具的金额为按本批次货物总价百分之一百(100%)的增值税专用发票一份，发票抬头为</w:t>
      </w:r>
      <w:r>
        <w:rPr>
          <w:rFonts w:hint="eastAsia" w:ascii="宋体" w:hAnsi="宋体" w:eastAsia="宋体" w:cs="宋体"/>
          <w:color w:val="auto"/>
          <w:kern w:val="0"/>
          <w:sz w:val="22"/>
          <w:szCs w:val="22"/>
          <w:highlight w:val="none"/>
          <w:u w:val="single"/>
        </w:rPr>
        <w:t>东莞市轨道交通有限公司</w:t>
      </w:r>
      <w:r>
        <w:rPr>
          <w:rFonts w:hint="eastAsia" w:ascii="宋体" w:hAnsi="宋体" w:eastAsia="宋体" w:cs="宋体"/>
          <w:color w:val="auto"/>
          <w:kern w:val="0"/>
          <w:sz w:val="22"/>
          <w:szCs w:val="22"/>
          <w:highlight w:val="none"/>
        </w:rPr>
        <w:t>。</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b.乙方出具的支付申请一份。</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c.货物到货签收单及验收合格证明一份。</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尾款（质保金）支付：质保期满后，经甲方确认产品均无质量问题或乙方已更换有质量问题产品经甲方确认合格后，甲方在收到乙方提供的以下材料并经甲方审核无误后40个工作日内支付结算总额的剩余价款。乙方须提供：</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a.乙方开具的金额为按本次支付金额百分之一百(100%)的质保金收据一份。</w:t>
      </w:r>
    </w:p>
    <w:p>
      <w:pPr>
        <w:pStyle w:val="9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b.乙方出具的支付申请一份。</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c.通过最终验收证明材料一份。</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涉税条款</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（1）由于乙方提供的增值税发票不符合税法法规规定或者开票有误的，甲方将有权拒收并要求重开。</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（2）乙方提供的增值税专用发票时应书面签收，由于乙方未及时提交增值税专用发票，导致甲方未在税法法规规定的认证期内认证进项税额的，甲方将有权退票。</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（3）如果发生按照税务规定应开具红字发票的情形，乙方将在双方确认后30日内向甲方开具符合税务规定的红字发票，开票后10日内送达甲方签收。</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甲方发生被税务机关稽查、调查、质询等税务检查事项需乙方配合的，乙方应按照甲方要求予以配合。如乙方发生被税务机关稽查、调查、质询等税务检查事项涉及甲方业务的，应在知悉后3日内书面通知甲方。</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九、质保期</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1.质量保证期为货物初步验收证书签发日起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年，从甲方出具初步验收合格证起开始计算。质保期内如任何部件因非甲方原因/过失而损坏，由乙方在</w:t>
      </w:r>
      <w:r>
        <w:rPr>
          <w:rFonts w:hint="eastAsia" w:ascii="宋体" w:hAnsi="宋体" w:eastAsia="宋体" w:cs="宋体"/>
          <w:color w:val="auto"/>
          <w:sz w:val="22"/>
          <w:szCs w:val="22"/>
          <w:highlight w:val="none"/>
          <w:u w:val="single"/>
        </w:rPr>
        <w:t xml:space="preserve"> 7</w:t>
      </w:r>
      <w:r>
        <w:rPr>
          <w:rFonts w:hint="eastAsia" w:ascii="宋体" w:hAnsi="宋体" w:eastAsia="宋体" w:cs="宋体"/>
          <w:color w:val="auto"/>
          <w:sz w:val="22"/>
          <w:szCs w:val="22"/>
          <w:highlight w:val="none"/>
        </w:rPr>
        <w:t>个工作日内修复或更换，修复不好或经过三次修复仍不好应给予更换，如不能更换的，予以退货，造成甲方的损失由乙方负责，甲方应尽快以书面形式或口头通知乙方，并向乙方提出索赔。</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若乙方不能在甲方规定的时间内完成货物的维修、更换、重新设计、安装或重新调试等，则甲方有权自行或委托第三方进行维修、更换、重新设计、安装或重新调试等工作，发生的所有费用及风险均由乙方承担，甲方有权在应退给乙方的质保金中将此费用扣除。并且甲方的上述行为不免除乙方依据合同规定应承担的任何责任。</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 在质保期结束时，须由乙方专业工程师对全部货物进行一次全面的检验测试，任何缺陷必须由乙方自费修理。在修复后，乙方必须将缺陷原因、补救措施、完成修理及恢复正常的时间和日期等书面报告给甲方，由甲方认可。</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4.质保期内，如设备或零部件因非人为因素出现故障而造成短期停用时，则质保期和免费维修期相应顺延。如停用时间累计超过</w:t>
      </w:r>
      <w:r>
        <w:rPr>
          <w:rFonts w:hint="eastAsia" w:ascii="宋体" w:hAnsi="宋体" w:eastAsia="宋体" w:cs="宋体"/>
          <w:color w:val="auto"/>
          <w:sz w:val="22"/>
          <w:szCs w:val="22"/>
          <w:highlight w:val="none"/>
          <w:u w:val="single"/>
        </w:rPr>
        <w:t xml:space="preserve"> 60 </w:t>
      </w:r>
      <w:r>
        <w:rPr>
          <w:rFonts w:hint="eastAsia" w:ascii="宋体" w:hAnsi="宋体" w:eastAsia="宋体" w:cs="宋体"/>
          <w:color w:val="auto"/>
          <w:sz w:val="22"/>
          <w:szCs w:val="22"/>
          <w:highlight w:val="none"/>
        </w:rPr>
        <w:t>天则质保期重新计算。</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5.对甲方的服务通知，乙方在接报后1小时内响应，4小时内到达现场，48小时内处理完毕。若在48小时内仍未能有效解决，乙方须在48小时内免费提供相同规格的产品予甲方临时替代使用。质保期外的维护服务乙方需在24小时内到现场解决问题。</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十、知识产权</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因乙方为实施本合同而向甲方提供的任何产品、资料、物件及服务引起的知识产权纠纷，由乙方承担由此引起的一切法律和经济上的责任。</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乙方保证依据本合同所提供的任何产品、资料、物件及服务均不构成对第三方合法权益的侵犯，包括但不限于知识产权。即甲方在中国使用乙方提供的产品、产品的任何一部分，资料或服务时，免受第三方提出的侵犯其专利权、商标权、工业设计权和其他知识产权的起诉。</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为实施本合同及其缺陷修补，需使用第三人专利，专有技术、技术秘密、商业秘密、著作权、商标权等知识产权的，在签订合同时，应向甲方说明知识产权的权利人，名称等权利状况，相应知识产权使用费由乙方负责支付。</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4.在乙方履行合同过程中，需增加使用第三人专利、专有技术、技术秘密、商业秘密、著作权、商标权等知识产权的，乙方应取得甲方同意，所使用的知识产权应支付的费用由乙方承担。</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的一切费用。</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十一、违约责任与赔偿损失</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1.乙方交付的货物、工程/提供的服务不符合采购文件、报价文件或本合同规定的，甲方有权拒收，并且乙方须向甲方支付本合同总价</w:t>
      </w:r>
      <w:r>
        <w:rPr>
          <w:rFonts w:hint="eastAsia" w:ascii="宋体" w:hAnsi="宋体" w:eastAsia="宋体" w:cs="宋体"/>
          <w:color w:val="auto"/>
          <w:sz w:val="22"/>
          <w:szCs w:val="22"/>
          <w:highlight w:val="none"/>
          <w:u w:val="single"/>
        </w:rPr>
        <w:t xml:space="preserve"> 20%  </w:t>
      </w:r>
      <w:r>
        <w:rPr>
          <w:rFonts w:hint="eastAsia" w:ascii="宋体" w:hAnsi="宋体" w:eastAsia="宋体" w:cs="宋体"/>
          <w:color w:val="auto"/>
          <w:sz w:val="22"/>
          <w:szCs w:val="22"/>
          <w:highlight w:val="none"/>
        </w:rPr>
        <w:t>的违约金。</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2.乙方未能按本合同规定的交货时间交付货物的/提供服务，从逾期之日起每日按本合同总价</w:t>
      </w:r>
      <w:r>
        <w:rPr>
          <w:rFonts w:hint="eastAsia" w:ascii="宋体" w:hAnsi="宋体" w:eastAsia="宋体" w:cs="宋体"/>
          <w:color w:val="auto"/>
          <w:sz w:val="22"/>
          <w:szCs w:val="22"/>
          <w:highlight w:val="none"/>
          <w:u w:val="single"/>
        </w:rPr>
        <w:t xml:space="preserve">  3‰ </w:t>
      </w:r>
      <w:r>
        <w:rPr>
          <w:rFonts w:hint="eastAsia" w:ascii="宋体" w:hAnsi="宋体" w:eastAsia="宋体" w:cs="宋体"/>
          <w:color w:val="auto"/>
          <w:sz w:val="22"/>
          <w:szCs w:val="22"/>
          <w:highlight w:val="none"/>
        </w:rPr>
        <w:t>的数额向甲方支付违约金；逾期半个月以上的，甲方有权终止合同，由此造成的甲方经济损失由乙方承担。</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乙方在质保期或者延长的质保期内不按合同规定履行义务的，按合同总价的</w:t>
      </w:r>
      <w:r>
        <w:rPr>
          <w:rFonts w:hint="eastAsia" w:ascii="宋体" w:hAnsi="宋体" w:eastAsia="宋体" w:cs="宋体"/>
          <w:color w:val="auto"/>
          <w:sz w:val="22"/>
          <w:szCs w:val="22"/>
          <w:highlight w:val="none"/>
          <w:u w:val="single"/>
        </w:rPr>
        <w:t xml:space="preserve">  1‰ </w:t>
      </w:r>
      <w:r>
        <w:rPr>
          <w:rFonts w:hint="eastAsia" w:ascii="宋体" w:hAnsi="宋体" w:eastAsia="宋体" w:cs="宋体"/>
          <w:color w:val="auto"/>
          <w:sz w:val="22"/>
          <w:szCs w:val="22"/>
          <w:highlight w:val="none"/>
        </w:rPr>
        <w:t>的数额向甲方支付违约金。</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若由于乙方原因（包括但不限于乙方提供货物的潜在缺陷）导致安全事故，乙方应赔偿甲方及第三方因此产生的损失，同时每发生一次，乙方按照合同总价的</w:t>
      </w:r>
      <w:r>
        <w:rPr>
          <w:rFonts w:hint="eastAsia" w:ascii="宋体" w:hAnsi="宋体" w:eastAsia="宋体" w:cs="宋体"/>
          <w:color w:val="auto"/>
          <w:sz w:val="22"/>
          <w:szCs w:val="22"/>
          <w:highlight w:val="none"/>
          <w:u w:val="single"/>
        </w:rPr>
        <w:t>10%</w:t>
      </w:r>
      <w:r>
        <w:rPr>
          <w:rFonts w:hint="eastAsia" w:ascii="宋体" w:hAnsi="宋体" w:eastAsia="宋体" w:cs="宋体"/>
          <w:color w:val="auto"/>
          <w:sz w:val="22"/>
          <w:szCs w:val="22"/>
          <w:highlight w:val="none"/>
        </w:rPr>
        <w:t>向甲方支付违约金。如安全事故导致人身伤亡的，则乙方在承担上述违约责任的同时还须按照国家、事故发生地点的省市的有关规定对伤亡人员进行赔偿。上述情况下，甲方也可直接书面通知乙方解除部分或全部合同，并且要求乙方按解除部分总价的</w:t>
      </w:r>
      <w:r>
        <w:rPr>
          <w:rFonts w:hint="eastAsia" w:ascii="宋体" w:hAnsi="宋体" w:eastAsia="宋体" w:cs="宋体"/>
          <w:color w:val="auto"/>
          <w:sz w:val="22"/>
          <w:szCs w:val="22"/>
          <w:highlight w:val="none"/>
          <w:u w:val="single"/>
        </w:rPr>
        <w:t>20%</w:t>
      </w:r>
      <w:r>
        <w:rPr>
          <w:rFonts w:hint="eastAsia" w:ascii="宋体" w:hAnsi="宋体" w:eastAsia="宋体" w:cs="宋体"/>
          <w:color w:val="auto"/>
          <w:sz w:val="22"/>
          <w:szCs w:val="22"/>
          <w:highlight w:val="none"/>
        </w:rPr>
        <w:t>向甲方支付违约金。</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5.甲方无正当理由拒收货物/接受服务，到期拒付货物/服务款项的，甲方向乙方偿付本合同总价的</w:t>
      </w:r>
      <w:r>
        <w:rPr>
          <w:rFonts w:hint="eastAsia" w:ascii="宋体" w:hAnsi="宋体" w:eastAsia="宋体" w:cs="宋体"/>
          <w:color w:val="auto"/>
          <w:sz w:val="22"/>
          <w:szCs w:val="22"/>
          <w:highlight w:val="none"/>
          <w:u w:val="single"/>
        </w:rPr>
        <w:t xml:space="preserve">  20% </w:t>
      </w:r>
      <w:r>
        <w:rPr>
          <w:rFonts w:hint="eastAsia" w:ascii="宋体" w:hAnsi="宋体" w:eastAsia="宋体" w:cs="宋体"/>
          <w:color w:val="auto"/>
          <w:sz w:val="22"/>
          <w:szCs w:val="22"/>
          <w:highlight w:val="none"/>
        </w:rPr>
        <w:t>的违约金。甲方人逾期付款，则每日按本合同总价的</w:t>
      </w:r>
      <w:r>
        <w:rPr>
          <w:rFonts w:hint="eastAsia" w:ascii="宋体" w:hAnsi="宋体" w:eastAsia="宋体" w:cs="宋体"/>
          <w:color w:val="auto"/>
          <w:sz w:val="22"/>
          <w:szCs w:val="22"/>
          <w:highlight w:val="none"/>
          <w:u w:val="single"/>
        </w:rPr>
        <w:t xml:space="preserve"> 1‰ </w:t>
      </w:r>
      <w:r>
        <w:rPr>
          <w:rFonts w:hint="eastAsia" w:ascii="宋体" w:hAnsi="宋体" w:eastAsia="宋体" w:cs="宋体"/>
          <w:color w:val="auto"/>
          <w:sz w:val="22"/>
          <w:szCs w:val="22"/>
          <w:highlight w:val="none"/>
        </w:rPr>
        <w:t>向乙方偿付违约金。</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6.其它违约责任按《中</w:t>
      </w:r>
      <w:r>
        <w:rPr>
          <w:rFonts w:hint="eastAsia" w:ascii="宋体" w:hAnsi="宋体" w:eastAsia="宋体" w:cs="宋体"/>
          <w:bCs/>
          <w:color w:val="auto"/>
          <w:sz w:val="22"/>
          <w:szCs w:val="22"/>
          <w:highlight w:val="none"/>
        </w:rPr>
        <w:t>华人民共和国合同法》处理。</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十二、不可抗力</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本条所述的“不可抗力”系指签约各方在缔结合同时所不能预见的、并且它的发生及其后果是无法避免和无法克服的事件，诸如战争、洪水、台风、地震等。</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十三、争议的解决</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1.凡与本合同有关而引起的一切争议，买卖双方应首先通过友好协商解决，如经协商后仍不能达成协议时，任何一方可以向法院提出诉讼。</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2.本合同发生的诉讼管辖地为东莞市有管辖权的法院。</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3.在进行法院审理期间，除提交法院审理的事项外，合同其他部分仍继续履行。</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4.本合同按照中华人民共和国的法律进行解释。</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十四、合同的转让和分包</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1.本合同为总承包合同，不能以任何形式进行分包；</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2.乙方不得部分转让或全部转让其应履行的合同义务。如甲方发现乙方转包或分包证据，乙方立刻失去继续供货资格，乙方不得破坏现场与施工效果，甲方不再付款。</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十五、合同的解除或终止</w:t>
      </w:r>
    </w:p>
    <w:p>
      <w:pPr>
        <w:spacing w:line="360" w:lineRule="auto"/>
        <w:ind w:firstLine="440" w:firstLineChars="200"/>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1.合同自然终止</w:t>
      </w:r>
    </w:p>
    <w:p>
      <w:pPr>
        <w:spacing w:line="360" w:lineRule="auto"/>
        <w:ind w:firstLine="420"/>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买卖双方各自完成合同规定的责任和义务，合同自然终止。</w:t>
      </w:r>
    </w:p>
    <w:p>
      <w:pPr>
        <w:spacing w:line="360" w:lineRule="auto"/>
        <w:ind w:firstLine="420"/>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2.违约违规终止合同</w:t>
      </w:r>
    </w:p>
    <w:p>
      <w:pPr>
        <w:spacing w:line="360" w:lineRule="auto"/>
        <w:ind w:firstLine="440" w:firstLineChars="200"/>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在甲方对乙方违约违规而采取的任何补救措施不受影响的情况下，甲方可向乙方发出书面的违约通知书，提出终止部分或全部合同：</w:t>
      </w:r>
    </w:p>
    <w:p>
      <w:pPr>
        <w:spacing w:line="360" w:lineRule="auto"/>
        <w:ind w:firstLine="440" w:firstLineChars="200"/>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①没有甲方的书面同意转让合同或将部分或整个合同项目分包出去；</w:t>
      </w:r>
    </w:p>
    <w:p>
      <w:pPr>
        <w:spacing w:line="360" w:lineRule="auto"/>
        <w:ind w:firstLine="440" w:firstLineChars="200"/>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②如果乙方破产或无清偿能力，甲方可在任何时候以书面形式通知乙方，提出终止合同而不给乙方补偿。该合同的终止将不损害或影响甲方已经采取或将要采取的任何行动或补救措施的权力；</w:t>
      </w:r>
    </w:p>
    <w:p>
      <w:pPr>
        <w:numPr>
          <w:ilvl w:val="0"/>
          <w:numId w:val="63"/>
        </w:numPr>
        <w:spacing w:line="360" w:lineRule="auto"/>
        <w:rPr>
          <w:rFonts w:hint="eastAsia" w:ascii="宋体" w:hAnsi="宋体" w:eastAsia="宋体" w:cs="宋体"/>
          <w:color w:val="auto"/>
          <w:sz w:val="22"/>
          <w:szCs w:val="22"/>
          <w:highlight w:val="none"/>
          <w:lang w:val="en-GB"/>
        </w:rPr>
      </w:pPr>
      <w:r>
        <w:rPr>
          <w:rFonts w:hint="eastAsia" w:ascii="宋体" w:hAnsi="宋体" w:eastAsia="宋体" w:cs="宋体"/>
          <w:color w:val="auto"/>
          <w:sz w:val="22"/>
          <w:szCs w:val="22"/>
          <w:highlight w:val="none"/>
          <w:lang w:val="en-GB"/>
        </w:rPr>
        <w:t>用于本合同中约定的可以解除或终止合同的条款。</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十六、税和关税</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1.中国政府根据现行税法对甲方征收的与本合同有关的一切税费均应由甲方负担。</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2.中国政府根据现行税法规定对乙方或其雇员征收的与本合同有关的一切税费应由乙方负担。</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十七、合同生效</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本合同经双方授权代表签字盖章后生效，生效日以最后一个签字日为准。</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十八、适用法律</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本合同按照中华人民共和国的现行法律进行解释。</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十九、合同修改</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除了双方签署书面补充合同，或按甲方要求办理变更手续外，本合同的条件不得有任何变化或修改。</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二十、其他</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1.本合同所有附件、采购文件均为合同的有效组成部分，与本合同具有同等法律效力。</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2.在执行本合同的过程中，所有经双方签署确认的文件（包括会议纪要、补充协议、往来信函）即成为本合同的有效组成部分。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3.如一方地址、电话、传真号码有变更，应在变更当日内书面通知对方，否则，应承担相应责任。 </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4.合同产生的印刷费用由乙方支付。</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5.甲方货物的送货地点，如有电梯，需无偿提供给乙方使用。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6.甲方相关人员配合乙方送货、安装及验收等工作。</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本合同正本一式</w:t>
      </w:r>
      <w:r>
        <w:rPr>
          <w:rFonts w:hint="eastAsia" w:ascii="宋体" w:hAnsi="宋体" w:eastAsia="宋体" w:cs="宋体"/>
          <w:color w:val="auto"/>
          <w:sz w:val="22"/>
          <w:szCs w:val="22"/>
          <w:highlight w:val="none"/>
          <w:u w:val="single"/>
        </w:rPr>
        <w:t xml:space="preserve">  贰 </w:t>
      </w:r>
      <w:r>
        <w:rPr>
          <w:rFonts w:hint="eastAsia" w:ascii="宋体" w:hAnsi="宋体" w:eastAsia="宋体" w:cs="宋体"/>
          <w:color w:val="auto"/>
          <w:sz w:val="22"/>
          <w:szCs w:val="22"/>
          <w:highlight w:val="none"/>
        </w:rPr>
        <w:t>份，买卖双方各执</w:t>
      </w:r>
      <w:r>
        <w:rPr>
          <w:rFonts w:hint="eastAsia" w:ascii="宋体" w:hAnsi="宋体" w:eastAsia="宋体" w:cs="宋体"/>
          <w:color w:val="auto"/>
          <w:sz w:val="22"/>
          <w:szCs w:val="22"/>
          <w:highlight w:val="none"/>
          <w:u w:val="single"/>
        </w:rPr>
        <w:t xml:space="preserve"> 壹 </w:t>
      </w:r>
      <w:r>
        <w:rPr>
          <w:rFonts w:hint="eastAsia" w:ascii="宋体" w:hAnsi="宋体" w:eastAsia="宋体" w:cs="宋体"/>
          <w:color w:val="auto"/>
          <w:sz w:val="22"/>
          <w:szCs w:val="22"/>
          <w:highlight w:val="none"/>
        </w:rPr>
        <w:t xml:space="preserve">份；副本一式 </w:t>
      </w:r>
      <w:r>
        <w:rPr>
          <w:rFonts w:hint="eastAsia" w:ascii="宋体" w:hAnsi="宋体" w:eastAsia="宋体" w:cs="宋体"/>
          <w:color w:val="auto"/>
          <w:sz w:val="22"/>
          <w:szCs w:val="22"/>
          <w:highlight w:val="none"/>
          <w:u w:val="single"/>
        </w:rPr>
        <w:t xml:space="preserve">拾 </w:t>
      </w:r>
      <w:r>
        <w:rPr>
          <w:rFonts w:hint="eastAsia" w:ascii="宋体" w:hAnsi="宋体" w:eastAsia="宋体" w:cs="宋体"/>
          <w:color w:val="auto"/>
          <w:sz w:val="22"/>
          <w:szCs w:val="22"/>
          <w:highlight w:val="none"/>
        </w:rPr>
        <w:t xml:space="preserve">份，甲方执 </w:t>
      </w:r>
      <w:r>
        <w:rPr>
          <w:rFonts w:hint="eastAsia" w:ascii="宋体" w:hAnsi="宋体" w:eastAsia="宋体" w:cs="宋体"/>
          <w:color w:val="auto"/>
          <w:sz w:val="22"/>
          <w:szCs w:val="22"/>
          <w:highlight w:val="none"/>
          <w:u w:val="single"/>
        </w:rPr>
        <w:t xml:space="preserve">玖 </w:t>
      </w:r>
      <w:r>
        <w:rPr>
          <w:rFonts w:hint="eastAsia" w:ascii="宋体" w:hAnsi="宋体" w:eastAsia="宋体" w:cs="宋体"/>
          <w:color w:val="auto"/>
          <w:sz w:val="22"/>
          <w:szCs w:val="22"/>
          <w:highlight w:val="none"/>
        </w:rPr>
        <w:t>份，乙方执</w:t>
      </w:r>
      <w:r>
        <w:rPr>
          <w:rFonts w:hint="eastAsia" w:ascii="宋体" w:hAnsi="宋体" w:eastAsia="宋体" w:cs="宋体"/>
          <w:color w:val="auto"/>
          <w:sz w:val="22"/>
          <w:szCs w:val="22"/>
          <w:highlight w:val="none"/>
          <w:u w:val="single"/>
        </w:rPr>
        <w:t xml:space="preserve">  壹 </w:t>
      </w:r>
      <w:r>
        <w:rPr>
          <w:rFonts w:hint="eastAsia" w:ascii="宋体" w:hAnsi="宋体" w:eastAsia="宋体" w:cs="宋体"/>
          <w:color w:val="auto"/>
          <w:sz w:val="22"/>
          <w:szCs w:val="22"/>
          <w:highlight w:val="none"/>
        </w:rPr>
        <w:t>份。正本和副本如有互相矛盾之处，以正本为准。</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本合同合计</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页A4纸张，缺页之合同为无效合同。</w:t>
      </w:r>
    </w:p>
    <w:p>
      <w:pPr>
        <w:spacing w:line="360" w:lineRule="auto"/>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甲方（盖章）：                        乙方（盖章）：</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法定代表人（授权代表）：              法定代表人（授权代表）：</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                                地址：</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                                电话：</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                                传真：</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开户银行：</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                                账号：</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纳税人识别号：</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签约时间：                            签约地点：</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合同附件</w:t>
      </w:r>
      <w:r>
        <w:rPr>
          <w:rFonts w:hint="eastAsia" w:ascii="宋体" w:hAnsi="宋体" w:eastAsia="宋体" w:cs="宋体"/>
          <w:color w:val="auto"/>
          <w:sz w:val="22"/>
          <w:szCs w:val="22"/>
          <w:highlight w:val="none"/>
        </w:rPr>
        <w:t>(合同编号***)</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w:t>
      </w:r>
    </w:p>
    <w:p>
      <w:pPr>
        <w:spacing w:line="360" w:lineRule="auto"/>
        <w:rPr>
          <w:rFonts w:hint="eastAsia" w:ascii="宋体" w:hAnsi="宋体" w:eastAsia="宋体" w:cs="宋体"/>
          <w:b/>
          <w:color w:val="auto"/>
          <w:sz w:val="22"/>
          <w:szCs w:val="22"/>
          <w:highlight w:val="none"/>
        </w:rPr>
      </w:pP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备注：1.本合同所有附件均在签订合同时编制，其编制依据是招标文件“用户需求书”中的要求和中标人的投标文件中的相应内容；</w:t>
      </w:r>
    </w:p>
    <w:p>
      <w:pPr>
        <w:numPr>
          <w:ilvl w:val="0"/>
          <w:numId w:val="56"/>
        </w:numPr>
        <w:snapToGrid w:val="0"/>
        <w:spacing w:line="360" w:lineRule="auto"/>
        <w:ind w:left="220" w:leftChars="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合同附件的具体内容由双方在签订合同时确定。</w:t>
      </w:r>
    </w:p>
    <w:p>
      <w:pPr>
        <w:pStyle w:val="2"/>
        <w:widowControl w:val="0"/>
        <w:numPr>
          <w:ilvl w:val="0"/>
          <w:numId w:val="0"/>
        </w:numPr>
        <w:jc w:val="both"/>
        <w:rPr>
          <w:rFonts w:hint="eastAsia"/>
          <w:color w:val="auto"/>
          <w:highlight w:val="none"/>
        </w:rPr>
        <w:sectPr>
          <w:headerReference r:id="rId4" w:type="first"/>
          <w:headerReference r:id="rId3"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left"/>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附件6</w:t>
      </w:r>
    </w:p>
    <w:p>
      <w:pPr>
        <w:spacing w:line="360" w:lineRule="auto"/>
        <w:ind w:firstLine="3092" w:firstLineChars="1400"/>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送货须知及安全责任承诺书</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各供应商：</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为规范</w:t>
      </w:r>
      <w:r>
        <w:rPr>
          <w:rFonts w:hint="eastAsia" w:ascii="宋体" w:hAnsi="宋体" w:eastAsia="宋体" w:cs="宋体"/>
          <w:color w:val="auto"/>
          <w:sz w:val="22"/>
          <w:szCs w:val="22"/>
          <w:highlight w:val="none"/>
          <w:lang w:val="en-US" w:eastAsia="zh-CN"/>
        </w:rPr>
        <w:t>合同交货</w:t>
      </w:r>
      <w:r>
        <w:rPr>
          <w:rFonts w:hint="eastAsia" w:ascii="宋体" w:hAnsi="宋体" w:eastAsia="宋体" w:cs="宋体"/>
          <w:color w:val="auto"/>
          <w:sz w:val="22"/>
          <w:szCs w:val="22"/>
          <w:highlight w:val="none"/>
        </w:rPr>
        <w:t>管理，</w:t>
      </w:r>
      <w:r>
        <w:rPr>
          <w:rFonts w:hint="eastAsia" w:ascii="宋体" w:hAnsi="宋体" w:eastAsia="宋体" w:cs="宋体"/>
          <w:color w:val="auto"/>
          <w:sz w:val="22"/>
          <w:szCs w:val="22"/>
          <w:highlight w:val="none"/>
          <w:lang w:val="en-US" w:eastAsia="zh-CN"/>
        </w:rPr>
        <w:t>理顺送货信息发送及流转流程</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提高工作效率，预防物流操作中的安全事故，现</w:t>
      </w:r>
      <w:r>
        <w:rPr>
          <w:rFonts w:hint="eastAsia" w:ascii="宋体" w:hAnsi="宋体" w:eastAsia="宋体" w:cs="宋体"/>
          <w:color w:val="auto"/>
          <w:sz w:val="22"/>
          <w:szCs w:val="22"/>
          <w:highlight w:val="none"/>
        </w:rPr>
        <w:t>对具体事项</w:t>
      </w:r>
      <w:r>
        <w:rPr>
          <w:rFonts w:hint="eastAsia" w:ascii="宋体" w:hAnsi="宋体" w:eastAsia="宋体" w:cs="宋体"/>
          <w:color w:val="auto"/>
          <w:sz w:val="22"/>
          <w:szCs w:val="22"/>
          <w:highlight w:val="none"/>
          <w:lang w:val="en-US" w:eastAsia="zh-CN"/>
        </w:rPr>
        <w:t>规定如下，请遵照执行</w:t>
      </w:r>
      <w:r>
        <w:rPr>
          <w:rFonts w:hint="eastAsia" w:ascii="宋体" w:hAnsi="宋体" w:eastAsia="宋体" w:cs="宋体"/>
          <w:color w:val="auto"/>
          <w:sz w:val="22"/>
          <w:szCs w:val="22"/>
          <w:highlight w:val="none"/>
        </w:rPr>
        <w:t>。</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供应商在合同签订后根据交期或我司供货通知安排交货</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协议供货通知和催货通知采用正规书面格式（暂定），盖章扫描后发给供应商，其它供货通知也可采用邮件或微信等形式。</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合同交付地点按合同条款规定的指定地点执行，正常收货时间为周一至周五（上午8:30-12:00;下午14:00-17:00,法定节假日除外）有特殊送货地点和时间要求的项目，由合同经办人提前在供货通知中说明。收货联络人参见合同条款送货要求规定。</w:t>
      </w:r>
    </w:p>
    <w:p>
      <w:pPr>
        <w:snapToGrid w:val="0"/>
        <w:spacing w:line="360" w:lineRule="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3、我司推荐供应商自行送货，市外或省外供应商如因实际需要必须采用第三方物流（含快递）供货时，需提前与物流承运单位协商按我司要求送至指定地点的地面。物流包装外应显著标明合同名称、供应商、经办人等信息。我司人员不负责物流货箱、包裹等大件物资的装卸、搬运、转运等工作并拒收车辆段门口以外的任何货物，由此造成的拒收或货物丢失、违约等责任一概由供应商自行承担。</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供应商供货前应将拟送货内容严格按我司《送货单》格式填写好电子表格，将其与物流单位、单号、预计到达时间等信息，提前至少2个工作日以邮件发给合同经办人和收货人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供应商送货时按合同规定或法律法规要求备好相应随货资料（如合格证、说明书、维修手册、原产地证明等，根据不同类别物资具体需要提供，提前与经办人沟通）和纸质《送货单》（1式3份，供应商签字盖章），资料不齐全的送货将影响验收入库和付款办理。</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紧急采购送货、提前送货（应我司要求）或节假日送货，由我司经办人与供应商提前沟通后将有关信息知会仓管员并协商办理。</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 钢轨道岔物料</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大批建筑装修材料</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防汛沙包</w:t>
      </w:r>
      <w:r>
        <w:rPr>
          <w:rFonts w:hint="eastAsia" w:ascii="宋体" w:hAnsi="宋体" w:eastAsia="宋体" w:cs="宋体"/>
          <w:color w:val="auto"/>
          <w:sz w:val="22"/>
          <w:szCs w:val="22"/>
          <w:highlight w:val="none"/>
        </w:rPr>
        <w:t>、竹</w:t>
      </w:r>
      <w:r>
        <w:rPr>
          <w:rFonts w:hint="eastAsia" w:ascii="宋体" w:hAnsi="宋体" w:eastAsia="宋体" w:cs="宋体"/>
          <w:color w:val="auto"/>
          <w:sz w:val="22"/>
          <w:szCs w:val="22"/>
          <w:highlight w:val="none"/>
          <w:lang w:val="en-US" w:eastAsia="zh-CN"/>
        </w:rPr>
        <w:t>木</w:t>
      </w:r>
      <w:r>
        <w:rPr>
          <w:rFonts w:hint="eastAsia" w:ascii="宋体" w:hAnsi="宋体" w:eastAsia="宋体" w:cs="宋体"/>
          <w:color w:val="auto"/>
          <w:sz w:val="22"/>
          <w:szCs w:val="22"/>
          <w:highlight w:val="none"/>
        </w:rPr>
        <w:t>类物资以及</w:t>
      </w:r>
      <w:r>
        <w:rPr>
          <w:rFonts w:hint="eastAsia" w:ascii="宋体" w:hAnsi="宋体" w:eastAsia="宋体" w:cs="宋体"/>
          <w:color w:val="auto"/>
          <w:sz w:val="22"/>
          <w:szCs w:val="22"/>
          <w:highlight w:val="none"/>
          <w:lang w:val="en-US" w:eastAsia="zh-CN"/>
        </w:rPr>
        <w:t>大型机电设备等</w:t>
      </w:r>
      <w:r>
        <w:rPr>
          <w:rFonts w:hint="eastAsia" w:ascii="宋体" w:hAnsi="宋体" w:eastAsia="宋体" w:cs="宋体"/>
          <w:color w:val="auto"/>
          <w:sz w:val="22"/>
          <w:szCs w:val="22"/>
          <w:highlight w:val="none"/>
        </w:rPr>
        <w:t>需安装的物资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供货商在仓库人员的指导下可直接送</w:t>
      </w:r>
      <w:r>
        <w:rPr>
          <w:rFonts w:hint="eastAsia" w:ascii="宋体" w:hAnsi="宋体" w:eastAsia="宋体" w:cs="宋体"/>
          <w:color w:val="auto"/>
          <w:sz w:val="22"/>
          <w:szCs w:val="22"/>
          <w:highlight w:val="none"/>
          <w:lang w:val="en-US" w:eastAsia="zh-CN"/>
        </w:rPr>
        <w:t>达</w:t>
      </w:r>
      <w:r>
        <w:rPr>
          <w:rFonts w:hint="eastAsia" w:ascii="宋体" w:hAnsi="宋体" w:eastAsia="宋体" w:cs="宋体"/>
          <w:color w:val="auto"/>
          <w:sz w:val="22"/>
          <w:szCs w:val="22"/>
          <w:highlight w:val="none"/>
        </w:rPr>
        <w:t>使用单位（</w:t>
      </w:r>
      <w:r>
        <w:rPr>
          <w:rFonts w:hint="eastAsia" w:ascii="宋体" w:hAnsi="宋体" w:eastAsia="宋体" w:cs="宋体"/>
          <w:color w:val="auto"/>
          <w:sz w:val="22"/>
          <w:szCs w:val="22"/>
          <w:highlight w:val="none"/>
          <w:lang w:val="en-US" w:eastAsia="zh-CN"/>
        </w:rPr>
        <w:t>地点</w:t>
      </w:r>
      <w:r>
        <w:rPr>
          <w:rFonts w:hint="eastAsia" w:ascii="宋体" w:hAnsi="宋体" w:eastAsia="宋体" w:cs="宋体"/>
          <w:color w:val="auto"/>
          <w:sz w:val="22"/>
          <w:szCs w:val="22"/>
          <w:highlight w:val="none"/>
        </w:rPr>
        <w:t>）。</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7、供应商应严格按照送货批次规定或我司通知安排送货，未提前告知送货信息或私自送货将被拒收。</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8、供应商卸货时如需我方人员操作特种设备（叉车、电瓶车等）协助需经仓库管理人员批准，供货商需签署安全责任承诺书（附件1）</w:t>
      </w: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供应商如不遵守上述规定，我司将按照《运营分公司供应商管理办法》对其进行年度考核扣分。对第3、4、7点规定违规1次以上且经我司劝诫仍不改正的，将处以履约保证金1%（或¥200元，取较大者）的扣款，扣款在履约保证金支付时执行。</w:t>
      </w:r>
    </w:p>
    <w:p>
      <w:pPr>
        <w:snapToGrid w:val="0"/>
        <w:spacing w:line="360" w:lineRule="auto"/>
        <w:rPr>
          <w:rFonts w:hint="eastAsia" w:ascii="宋体" w:hAnsi="宋体" w:eastAsia="宋体" w:cs="宋体"/>
          <w:color w:val="auto"/>
          <w:sz w:val="22"/>
          <w:szCs w:val="22"/>
          <w:highlight w:val="none"/>
          <w:lang w:val="en-US" w:eastAsia="zh-CN"/>
        </w:rPr>
      </w:pPr>
    </w:p>
    <w:p>
      <w:pPr>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en-US" w:eastAsia="zh-CN"/>
        </w:rPr>
        <w:t xml:space="preserve">  东莞市轨道交通有限公司</w:t>
      </w:r>
    </w:p>
    <w:p>
      <w:pPr>
        <w:snapToGrid w:val="0"/>
        <w:spacing w:line="360" w:lineRule="auto"/>
        <w:rPr>
          <w:rFonts w:hint="eastAsia" w:ascii="宋体" w:hAnsi="宋体" w:eastAsia="宋体" w:cs="宋体"/>
          <w:color w:val="auto"/>
          <w:sz w:val="22"/>
          <w:szCs w:val="22"/>
          <w:highlight w:val="none"/>
        </w:rPr>
      </w:pPr>
    </w:p>
    <w:p>
      <w:pPr>
        <w:ind w:firstLine="0" w:firstLineChars="0"/>
        <w:jc w:val="center"/>
        <w:rPr>
          <w:rFonts w:hint="eastAsia" w:ascii="黑体" w:hAnsi="宋体" w:eastAsia="黑体" w:cs="Arial Unicode MS"/>
          <w:color w:val="auto"/>
          <w:szCs w:val="21"/>
          <w:highlight w:val="none"/>
          <w:lang w:bidi="ar"/>
        </w:rPr>
      </w:pPr>
    </w:p>
    <w:p>
      <w:pPr>
        <w:ind w:firstLine="0" w:firstLineChars="0"/>
        <w:jc w:val="center"/>
        <w:rPr>
          <w:rFonts w:hint="eastAsia" w:ascii="黑体" w:hAnsi="宋体" w:eastAsia="黑体" w:cs="Arial Unicode MS"/>
          <w:color w:val="auto"/>
          <w:sz w:val="32"/>
          <w:szCs w:val="32"/>
          <w:highlight w:val="none"/>
          <w:lang w:bidi="ar"/>
        </w:rPr>
      </w:pPr>
      <w:r>
        <w:rPr>
          <w:rFonts w:hint="eastAsia" w:ascii="黑体" w:hAnsi="宋体" w:eastAsia="黑体" w:cs="Arial Unicode MS"/>
          <w:color w:val="auto"/>
          <w:sz w:val="32"/>
          <w:szCs w:val="32"/>
          <w:highlight w:val="none"/>
          <w:lang w:bidi="ar"/>
        </w:rPr>
        <w:t>供货商</w:t>
      </w:r>
      <w:r>
        <w:rPr>
          <w:rFonts w:hint="eastAsia" w:ascii="黑体" w:hAnsi="宋体" w:eastAsia="黑体" w:cs="Arial Unicode MS"/>
          <w:color w:val="auto"/>
          <w:sz w:val="32"/>
          <w:szCs w:val="32"/>
          <w:highlight w:val="none"/>
          <w:lang w:val="en-US" w:eastAsia="zh-CN" w:bidi="ar"/>
        </w:rPr>
        <w:t>安全</w:t>
      </w:r>
      <w:r>
        <w:rPr>
          <w:rFonts w:hint="eastAsia" w:ascii="黑体" w:hAnsi="宋体" w:eastAsia="黑体" w:cs="Arial Unicode MS"/>
          <w:color w:val="auto"/>
          <w:sz w:val="32"/>
          <w:szCs w:val="32"/>
          <w:highlight w:val="none"/>
          <w:lang w:bidi="ar"/>
        </w:rPr>
        <w:t xml:space="preserve">责任承诺书 </w:t>
      </w:r>
    </w:p>
    <w:p>
      <w:pPr>
        <w:ind w:firstLine="0" w:firstLineChars="0"/>
        <w:jc w:val="center"/>
        <w:rPr>
          <w:rFonts w:hint="eastAsia" w:ascii="黑体" w:hAnsi="宋体" w:eastAsia="黑体" w:cs="Arial Unicode MS"/>
          <w:color w:val="auto"/>
          <w:szCs w:val="21"/>
          <w:highlight w:val="none"/>
          <w:lang w:bidi="ar"/>
        </w:rPr>
      </w:pPr>
    </w:p>
    <w:p>
      <w:pPr>
        <w:spacing w:line="360" w:lineRule="auto"/>
        <w:ind w:firstLine="0" w:firstLineChars="0"/>
        <w:jc w:val="center"/>
        <w:rPr>
          <w:rFonts w:hint="eastAsia" w:ascii="黑体" w:hAnsi="宋体" w:eastAsia="黑体" w:cs="Arial Unicode MS"/>
          <w:color w:val="auto"/>
          <w:sz w:val="22"/>
          <w:szCs w:val="22"/>
          <w:highlight w:val="none"/>
          <w:lang w:bidi="ar"/>
        </w:rPr>
      </w:pPr>
    </w:p>
    <w:p>
      <w:pPr>
        <w:spacing w:line="360" w:lineRule="auto"/>
        <w:ind w:firstLine="0" w:firstLineChars="0"/>
        <w:rPr>
          <w:rFonts w:ascii="宋体" w:hAnsi="宋体" w:cs="Arial Unicode MS"/>
          <w:color w:val="auto"/>
          <w:sz w:val="22"/>
          <w:szCs w:val="22"/>
          <w:highlight w:val="none"/>
        </w:rPr>
      </w:pPr>
      <w:r>
        <w:rPr>
          <w:rFonts w:hint="eastAsia" w:ascii="宋体" w:hAnsi="宋体" w:cs="宋体"/>
          <w:color w:val="auto"/>
          <w:kern w:val="0"/>
          <w:sz w:val="22"/>
          <w:szCs w:val="22"/>
          <w:highlight w:val="none"/>
          <w:lang w:val="en-US" w:eastAsia="zh-CN" w:bidi="ar"/>
        </w:rPr>
        <w:t>东莞市轨道交通</w:t>
      </w:r>
      <w:r>
        <w:rPr>
          <w:rFonts w:hint="eastAsia" w:ascii="宋体" w:hAnsi="宋体" w:cs="宋体"/>
          <w:color w:val="auto"/>
          <w:kern w:val="0"/>
          <w:sz w:val="22"/>
          <w:szCs w:val="22"/>
          <w:highlight w:val="none"/>
          <w:lang w:bidi="ar"/>
        </w:rPr>
        <w:t>有限公司：</w:t>
      </w:r>
    </w:p>
    <w:p>
      <w:pPr>
        <w:spacing w:line="360" w:lineRule="auto"/>
        <w:ind w:firstLine="420"/>
        <w:rPr>
          <w:rFonts w:hint="eastAsia" w:ascii="宋体" w:hAnsi="宋体" w:cs="宋体"/>
          <w:color w:val="auto"/>
          <w:kern w:val="0"/>
          <w:sz w:val="22"/>
          <w:szCs w:val="22"/>
          <w:highlight w:val="none"/>
          <w:lang w:val="en-US" w:eastAsia="zh-CN" w:bidi="ar"/>
        </w:rPr>
      </w:pPr>
      <w:r>
        <w:rPr>
          <w:rFonts w:hint="eastAsia" w:ascii="宋体" w:hAnsi="宋体" w:cs="Arial Unicode MS"/>
          <w:b w:val="0"/>
          <w:bCs w:val="0"/>
          <w:color w:val="auto"/>
          <w:sz w:val="22"/>
          <w:szCs w:val="22"/>
          <w:highlight w:val="none"/>
          <w:u w:val="single"/>
          <w:lang w:bidi="ar"/>
        </w:rPr>
        <w:t xml:space="preserve"> </w:t>
      </w:r>
      <w:r>
        <w:rPr>
          <w:rFonts w:hint="eastAsia" w:ascii="宋体" w:hAnsi="宋体" w:cs="Arial Unicode MS"/>
          <w:b w:val="0"/>
          <w:bCs w:val="0"/>
          <w:color w:val="auto"/>
          <w:sz w:val="22"/>
          <w:szCs w:val="22"/>
          <w:highlight w:val="none"/>
          <w:u w:val="single"/>
          <w:lang w:val="en-US" w:eastAsia="zh-CN" w:bidi="ar"/>
        </w:rPr>
        <w:t>为顺利完成合同交货工作</w:t>
      </w:r>
      <w:r>
        <w:rPr>
          <w:rFonts w:hint="eastAsia" w:ascii="宋体" w:hAnsi="宋体" w:cs="Arial Unicode MS"/>
          <w:b w:val="0"/>
          <w:bCs w:val="0"/>
          <w:color w:val="auto"/>
          <w:sz w:val="22"/>
          <w:szCs w:val="22"/>
          <w:highlight w:val="none"/>
          <w:u w:val="single"/>
          <w:lang w:bidi="ar"/>
        </w:rPr>
        <w:t xml:space="preserve"> </w:t>
      </w:r>
      <w:r>
        <w:rPr>
          <w:rFonts w:hint="eastAsia" w:ascii="宋体" w:hAnsi="宋体" w:cs="宋体"/>
          <w:color w:val="auto"/>
          <w:kern w:val="0"/>
          <w:sz w:val="22"/>
          <w:szCs w:val="22"/>
          <w:highlight w:val="none"/>
          <w:lang w:bidi="ar"/>
        </w:rPr>
        <w:t>（写明原因），</w:t>
      </w:r>
      <w:r>
        <w:rPr>
          <w:rFonts w:hint="eastAsia" w:ascii="宋体" w:hAnsi="宋体" w:cs="宋体"/>
          <w:color w:val="auto"/>
          <w:kern w:val="0"/>
          <w:sz w:val="22"/>
          <w:szCs w:val="22"/>
          <w:highlight w:val="none"/>
          <w:lang w:val="en-US" w:eastAsia="zh-CN" w:bidi="ar"/>
        </w:rPr>
        <w:t>我司在此郑重承诺在交货组织过程中自愿承担以下安全责任：</w:t>
      </w:r>
    </w:p>
    <w:p>
      <w:pPr>
        <w:numPr>
          <w:ilvl w:val="0"/>
          <w:numId w:val="64"/>
        </w:numPr>
        <w:spacing w:line="360" w:lineRule="auto"/>
        <w:ind w:firstLine="420"/>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自觉遵守东莞市轨道交通</w:t>
      </w:r>
      <w:r>
        <w:rPr>
          <w:rFonts w:hint="eastAsia" w:ascii="宋体" w:hAnsi="宋体" w:cs="宋体"/>
          <w:color w:val="auto"/>
          <w:kern w:val="0"/>
          <w:sz w:val="22"/>
          <w:szCs w:val="22"/>
          <w:highlight w:val="none"/>
          <w:lang w:bidi="ar"/>
        </w:rPr>
        <w:t>有限公司</w:t>
      </w:r>
      <w:r>
        <w:rPr>
          <w:rFonts w:hint="eastAsia" w:ascii="宋体" w:hAnsi="宋体" w:cs="宋体"/>
          <w:color w:val="auto"/>
          <w:kern w:val="0"/>
          <w:sz w:val="22"/>
          <w:szCs w:val="22"/>
          <w:highlight w:val="none"/>
          <w:lang w:val="en-US" w:eastAsia="zh-CN" w:bidi="ar"/>
        </w:rPr>
        <w:t>车辆段内一切交通安全规定及道路指引，服从保安和收货人员安排，遵守库房及卸货现场消防安全规定。</w:t>
      </w:r>
    </w:p>
    <w:p>
      <w:pPr>
        <w:numPr>
          <w:ilvl w:val="0"/>
          <w:numId w:val="64"/>
        </w:numPr>
        <w:spacing w:line="360" w:lineRule="auto"/>
        <w:ind w:firstLine="42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我司自行组织交通工具供货如有大件货物时，将按供货须知要求</w:t>
      </w:r>
      <w:r>
        <w:rPr>
          <w:rFonts w:hint="eastAsia" w:ascii="宋体" w:hAnsi="宋体" w:cs="宋体"/>
          <w:color w:val="auto"/>
          <w:kern w:val="0"/>
          <w:sz w:val="22"/>
          <w:szCs w:val="22"/>
          <w:highlight w:val="none"/>
          <w:lang w:bidi="ar"/>
        </w:rPr>
        <w:t>申请</w:t>
      </w:r>
      <w:r>
        <w:rPr>
          <w:rFonts w:hint="eastAsia" w:ascii="宋体" w:hAnsi="宋体" w:cs="宋体"/>
          <w:color w:val="auto"/>
          <w:kern w:val="0"/>
          <w:sz w:val="22"/>
          <w:szCs w:val="22"/>
          <w:highlight w:val="none"/>
          <w:lang w:val="en-US" w:eastAsia="zh-CN" w:bidi="ar"/>
        </w:rPr>
        <w:t>东莞市轨道交通</w:t>
      </w:r>
      <w:r>
        <w:rPr>
          <w:rFonts w:hint="eastAsia" w:ascii="宋体" w:hAnsi="宋体" w:cs="宋体"/>
          <w:color w:val="auto"/>
          <w:kern w:val="0"/>
          <w:sz w:val="22"/>
          <w:szCs w:val="22"/>
          <w:highlight w:val="none"/>
          <w:lang w:bidi="ar"/>
        </w:rPr>
        <w:t>有限公司</w:t>
      </w:r>
      <w:r>
        <w:rPr>
          <w:rFonts w:hint="eastAsia" w:ascii="宋体" w:hAnsi="宋体" w:cs="宋体"/>
          <w:color w:val="auto"/>
          <w:kern w:val="0"/>
          <w:sz w:val="22"/>
          <w:szCs w:val="22"/>
          <w:highlight w:val="none"/>
          <w:lang w:val="en-US" w:eastAsia="zh-CN" w:bidi="ar"/>
        </w:rPr>
        <w:t>相关收货人员</w:t>
      </w:r>
      <w:r>
        <w:rPr>
          <w:rFonts w:hint="eastAsia" w:ascii="宋体" w:hAnsi="宋体" w:cs="宋体"/>
          <w:color w:val="auto"/>
          <w:kern w:val="0"/>
          <w:sz w:val="22"/>
          <w:szCs w:val="22"/>
          <w:highlight w:val="none"/>
          <w:lang w:bidi="ar"/>
        </w:rPr>
        <w:t>操作特种设备（叉车、</w:t>
      </w:r>
      <w:r>
        <w:rPr>
          <w:rFonts w:hint="eastAsia" w:ascii="宋体" w:hAnsi="宋体" w:cs="宋体"/>
          <w:color w:val="auto"/>
          <w:kern w:val="0"/>
          <w:sz w:val="22"/>
          <w:szCs w:val="22"/>
          <w:highlight w:val="none"/>
          <w:lang w:val="en-US" w:eastAsia="zh-CN" w:bidi="ar"/>
        </w:rPr>
        <w:t>堆垛机</w:t>
      </w:r>
      <w:r>
        <w:rPr>
          <w:rFonts w:hint="eastAsia" w:ascii="宋体" w:hAnsi="宋体" w:cs="宋体"/>
          <w:color w:val="auto"/>
          <w:kern w:val="0"/>
          <w:sz w:val="22"/>
          <w:szCs w:val="22"/>
          <w:highlight w:val="none"/>
          <w:lang w:bidi="ar"/>
        </w:rPr>
        <w:t>等）协助卸货，卸货时若出现</w:t>
      </w:r>
      <w:r>
        <w:rPr>
          <w:rFonts w:hint="eastAsia" w:ascii="宋体" w:hAnsi="宋体" w:cs="宋体"/>
          <w:color w:val="auto"/>
          <w:kern w:val="0"/>
          <w:sz w:val="22"/>
          <w:szCs w:val="22"/>
          <w:highlight w:val="none"/>
          <w:lang w:val="en-US" w:eastAsia="zh-CN" w:bidi="ar"/>
        </w:rPr>
        <w:t>任何</w:t>
      </w:r>
      <w:r>
        <w:rPr>
          <w:rFonts w:hint="eastAsia" w:ascii="宋体" w:hAnsi="宋体" w:cs="宋体"/>
          <w:color w:val="auto"/>
          <w:kern w:val="0"/>
          <w:sz w:val="22"/>
          <w:szCs w:val="22"/>
          <w:highlight w:val="none"/>
          <w:lang w:bidi="ar"/>
        </w:rPr>
        <w:t>货物损毁、人员伤亡等</w:t>
      </w:r>
      <w:r>
        <w:rPr>
          <w:rFonts w:hint="eastAsia" w:ascii="宋体" w:hAnsi="宋体" w:cs="宋体"/>
          <w:color w:val="auto"/>
          <w:kern w:val="0"/>
          <w:sz w:val="22"/>
          <w:szCs w:val="22"/>
          <w:highlight w:val="none"/>
          <w:lang w:val="en-US" w:eastAsia="zh-CN" w:bidi="ar"/>
        </w:rPr>
        <w:t>事故</w:t>
      </w:r>
      <w:r>
        <w:rPr>
          <w:rFonts w:hint="eastAsia" w:ascii="宋体" w:hAnsi="宋体" w:cs="宋体"/>
          <w:color w:val="auto"/>
          <w:kern w:val="0"/>
          <w:sz w:val="22"/>
          <w:szCs w:val="22"/>
          <w:highlight w:val="none"/>
          <w:lang w:bidi="ar"/>
        </w:rPr>
        <w:t>，由</w:t>
      </w:r>
      <w:r>
        <w:rPr>
          <w:rFonts w:hint="eastAsia" w:ascii="宋体" w:hAnsi="宋体" w:cs="宋体"/>
          <w:color w:val="auto"/>
          <w:kern w:val="0"/>
          <w:sz w:val="22"/>
          <w:szCs w:val="22"/>
          <w:highlight w:val="none"/>
          <w:lang w:val="en-US" w:eastAsia="zh-CN" w:bidi="ar"/>
        </w:rPr>
        <w:t>我</w:t>
      </w:r>
      <w:r>
        <w:rPr>
          <w:rFonts w:hint="eastAsia" w:ascii="宋体" w:hAnsi="宋体" w:cs="宋体"/>
          <w:color w:val="auto"/>
          <w:kern w:val="0"/>
          <w:sz w:val="22"/>
          <w:szCs w:val="22"/>
          <w:highlight w:val="none"/>
          <w:lang w:bidi="ar"/>
        </w:rPr>
        <w:t>司承担</w:t>
      </w:r>
      <w:r>
        <w:rPr>
          <w:rFonts w:hint="eastAsia" w:ascii="宋体" w:hAnsi="宋体" w:cs="宋体"/>
          <w:color w:val="auto"/>
          <w:kern w:val="0"/>
          <w:sz w:val="22"/>
          <w:szCs w:val="22"/>
          <w:highlight w:val="none"/>
          <w:lang w:val="en-US" w:eastAsia="zh-CN" w:bidi="ar"/>
        </w:rPr>
        <w:t>全部</w:t>
      </w:r>
      <w:r>
        <w:rPr>
          <w:rFonts w:hint="eastAsia" w:ascii="宋体" w:hAnsi="宋体" w:cs="宋体"/>
          <w:color w:val="auto"/>
          <w:kern w:val="0"/>
          <w:sz w:val="22"/>
          <w:szCs w:val="22"/>
          <w:highlight w:val="none"/>
          <w:lang w:bidi="ar"/>
        </w:rPr>
        <w:t>责任。</w:t>
      </w:r>
    </w:p>
    <w:p>
      <w:pPr>
        <w:numPr>
          <w:ilvl w:val="0"/>
          <w:numId w:val="64"/>
        </w:numPr>
        <w:spacing w:line="360" w:lineRule="auto"/>
        <w:ind w:firstLine="42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如我司委托第三方物流公司（含快递）送货至合同规定地点，所发生的装卸、搬运、转运费用由我司协调承运人解决。装卸、搬运、转运过程中造成的</w:t>
      </w:r>
      <w:r>
        <w:rPr>
          <w:rFonts w:hint="eastAsia" w:ascii="宋体" w:hAnsi="宋体" w:cs="宋体"/>
          <w:color w:val="auto"/>
          <w:kern w:val="0"/>
          <w:sz w:val="22"/>
          <w:szCs w:val="22"/>
          <w:highlight w:val="none"/>
          <w:lang w:bidi="ar"/>
        </w:rPr>
        <w:t>货物损毁、</w:t>
      </w:r>
      <w:r>
        <w:rPr>
          <w:rFonts w:hint="eastAsia" w:ascii="宋体" w:hAnsi="宋体" w:cs="宋体"/>
          <w:color w:val="auto"/>
          <w:kern w:val="0"/>
          <w:sz w:val="22"/>
          <w:szCs w:val="22"/>
          <w:highlight w:val="none"/>
          <w:lang w:val="en-US" w:eastAsia="zh-CN" w:bidi="ar"/>
        </w:rPr>
        <w:t>供需双方及第三方</w:t>
      </w:r>
      <w:r>
        <w:rPr>
          <w:rFonts w:hint="eastAsia" w:ascii="宋体" w:hAnsi="宋体" w:cs="宋体"/>
          <w:color w:val="auto"/>
          <w:kern w:val="0"/>
          <w:sz w:val="22"/>
          <w:szCs w:val="22"/>
          <w:highlight w:val="none"/>
          <w:lang w:bidi="ar"/>
        </w:rPr>
        <w:t>人员伤亡等</w:t>
      </w:r>
      <w:r>
        <w:rPr>
          <w:rFonts w:hint="eastAsia" w:ascii="宋体" w:hAnsi="宋体" w:cs="宋体"/>
          <w:color w:val="auto"/>
          <w:kern w:val="0"/>
          <w:sz w:val="22"/>
          <w:szCs w:val="22"/>
          <w:highlight w:val="none"/>
          <w:lang w:val="en-US" w:eastAsia="zh-CN" w:bidi="ar"/>
        </w:rPr>
        <w:t>事故</w:t>
      </w:r>
      <w:r>
        <w:rPr>
          <w:rFonts w:hint="eastAsia" w:ascii="宋体" w:hAnsi="宋体" w:cs="宋体"/>
          <w:color w:val="auto"/>
          <w:kern w:val="0"/>
          <w:sz w:val="22"/>
          <w:szCs w:val="22"/>
          <w:highlight w:val="none"/>
          <w:lang w:bidi="ar"/>
        </w:rPr>
        <w:t>，由</w:t>
      </w:r>
      <w:r>
        <w:rPr>
          <w:rFonts w:hint="eastAsia" w:ascii="宋体" w:hAnsi="宋体" w:cs="宋体"/>
          <w:color w:val="auto"/>
          <w:kern w:val="0"/>
          <w:sz w:val="22"/>
          <w:szCs w:val="22"/>
          <w:highlight w:val="none"/>
          <w:lang w:val="en-US" w:eastAsia="zh-CN" w:bidi="ar"/>
        </w:rPr>
        <w:t>我</w:t>
      </w:r>
      <w:r>
        <w:rPr>
          <w:rFonts w:hint="eastAsia" w:ascii="宋体" w:hAnsi="宋体" w:cs="宋体"/>
          <w:color w:val="auto"/>
          <w:kern w:val="0"/>
          <w:sz w:val="22"/>
          <w:szCs w:val="22"/>
          <w:highlight w:val="none"/>
          <w:lang w:bidi="ar"/>
        </w:rPr>
        <w:t>司承担所有责任。</w:t>
      </w:r>
    </w:p>
    <w:p>
      <w:pPr>
        <w:spacing w:line="360" w:lineRule="auto"/>
        <w:ind w:firstLine="420"/>
        <w:rPr>
          <w:rFonts w:ascii="宋体" w:hAnsi="宋体" w:cs="宋体"/>
          <w:color w:val="auto"/>
          <w:kern w:val="0"/>
          <w:sz w:val="22"/>
          <w:szCs w:val="22"/>
          <w:highlight w:val="none"/>
        </w:rPr>
      </w:pPr>
    </w:p>
    <w:p>
      <w:pPr>
        <w:spacing w:line="360" w:lineRule="auto"/>
        <w:ind w:firstLine="420"/>
        <w:rPr>
          <w:rFonts w:ascii="宋体" w:hAnsi="宋体" w:cs="宋体"/>
          <w:color w:val="auto"/>
          <w:kern w:val="0"/>
          <w:sz w:val="22"/>
          <w:szCs w:val="22"/>
          <w:highlight w:val="none"/>
        </w:rPr>
      </w:pPr>
    </w:p>
    <w:p>
      <w:pPr>
        <w:spacing w:line="360" w:lineRule="auto"/>
        <w:ind w:firstLine="420"/>
        <w:rPr>
          <w:rFonts w:ascii="宋体" w:hAnsi="宋体" w:cs="宋体"/>
          <w:color w:val="auto"/>
          <w:kern w:val="0"/>
          <w:sz w:val="22"/>
          <w:szCs w:val="22"/>
          <w:highlight w:val="none"/>
        </w:rPr>
      </w:pPr>
    </w:p>
    <w:p>
      <w:pPr>
        <w:spacing w:line="360" w:lineRule="auto"/>
        <w:ind w:left="5880" w:hanging="6160" w:hangingChars="280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                       </w:t>
      </w:r>
    </w:p>
    <w:p>
      <w:pPr>
        <w:spacing w:line="360" w:lineRule="auto"/>
        <w:ind w:left="5880" w:hanging="6160" w:hangingChars="2800"/>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val="en-US" w:eastAsia="zh-CN" w:bidi="ar"/>
        </w:rPr>
        <w:t>供应商</w:t>
      </w: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val="en-US" w:eastAsia="zh-CN" w:bidi="ar"/>
        </w:rPr>
        <w:t>盖章</w:t>
      </w:r>
      <w:r>
        <w:rPr>
          <w:rFonts w:hint="eastAsia" w:ascii="宋体" w:hAnsi="宋体" w:cs="宋体"/>
          <w:color w:val="auto"/>
          <w:kern w:val="0"/>
          <w:sz w:val="22"/>
          <w:szCs w:val="22"/>
          <w:highlight w:val="none"/>
          <w:lang w:eastAsia="zh-CN" w:bidi="ar"/>
        </w:rPr>
        <w:t>）</w:t>
      </w:r>
    </w:p>
    <w:p>
      <w:pPr>
        <w:spacing w:line="360" w:lineRule="auto"/>
        <w:ind w:left="6160" w:leftChars="0" w:hanging="6160" w:hangingChars="2800"/>
        <w:rPr>
          <w:rFonts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                                                                                                      承诺人：</w:t>
      </w:r>
    </w:p>
    <w:p>
      <w:pPr>
        <w:spacing w:line="360" w:lineRule="auto"/>
        <w:ind w:left="6203" w:leftChars="200" w:hanging="5783" w:hangingChars="2629"/>
        <w:rPr>
          <w:color w:val="auto"/>
          <w:sz w:val="22"/>
          <w:szCs w:val="22"/>
          <w:highlight w:val="none"/>
        </w:rPr>
      </w:pPr>
      <w:r>
        <w:rPr>
          <w:rFonts w:hint="eastAsia" w:ascii="宋体" w:hAnsi="宋体" w:cs="宋体"/>
          <w:color w:val="auto"/>
          <w:kern w:val="0"/>
          <w:sz w:val="22"/>
          <w:szCs w:val="22"/>
          <w:highlight w:val="none"/>
          <w:lang w:bidi="ar"/>
        </w:rPr>
        <w:t xml:space="preserve">                                                                                                    年  月  日</w:t>
      </w:r>
    </w:p>
    <w:p>
      <w:pPr>
        <w:ind w:firstLine="560" w:firstLineChars="200"/>
        <w:rPr>
          <w:rFonts w:hint="default"/>
          <w:color w:val="auto"/>
          <w:sz w:val="28"/>
          <w:szCs w:val="28"/>
          <w:highlight w:val="none"/>
          <w:lang w:val="en-US" w:eastAsia="zh-CN"/>
        </w:rPr>
      </w:pPr>
    </w:p>
    <w:p>
      <w:pPr>
        <w:ind w:firstLine="560" w:firstLineChars="200"/>
        <w:rPr>
          <w:rFonts w:hint="eastAsia"/>
          <w:color w:val="auto"/>
          <w:sz w:val="28"/>
          <w:szCs w:val="28"/>
          <w:highlight w:val="none"/>
          <w:lang w:val="en-US" w:eastAsia="zh-CN"/>
        </w:rPr>
      </w:pPr>
    </w:p>
    <w:p>
      <w:pPr>
        <w:ind w:firstLine="560" w:firstLineChars="200"/>
        <w:rPr>
          <w:rFonts w:hint="eastAsia"/>
          <w:color w:val="auto"/>
          <w:sz w:val="28"/>
          <w:szCs w:val="28"/>
          <w:highlight w:val="none"/>
          <w:lang w:val="en-US" w:eastAsia="zh-CN"/>
        </w:rPr>
      </w:pPr>
    </w:p>
    <w:p>
      <w:pPr>
        <w:ind w:firstLine="560" w:firstLineChars="200"/>
        <w:rPr>
          <w:rFonts w:hint="eastAsia"/>
          <w:color w:val="auto"/>
          <w:sz w:val="28"/>
          <w:szCs w:val="28"/>
          <w:highlight w:val="none"/>
          <w:lang w:val="en-US" w:eastAsia="zh-CN"/>
        </w:rPr>
      </w:pPr>
    </w:p>
    <w:p>
      <w:pPr>
        <w:ind w:firstLine="560" w:firstLineChars="200"/>
        <w:rPr>
          <w:rFonts w:hint="eastAsia"/>
          <w:color w:val="auto"/>
          <w:sz w:val="28"/>
          <w:szCs w:val="28"/>
          <w:highlight w:val="none"/>
          <w:lang w:val="en-US" w:eastAsia="zh-CN"/>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pStyle w:val="2"/>
        <w:rPr>
          <w:rFonts w:ascii="宋体" w:hAnsi="宋体"/>
          <w:color w:val="auto"/>
          <w:sz w:val="22"/>
          <w:szCs w:val="22"/>
          <w:highlight w:val="none"/>
        </w:rPr>
      </w:pPr>
    </w:p>
    <w:p>
      <w:pPr>
        <w:widowControl/>
        <w:jc w:val="left"/>
        <w:rPr>
          <w:rFonts w:ascii="Times New Roman" w:hAnsi="Times New Roman"/>
          <w:color w:val="auto"/>
          <w:sz w:val="36"/>
          <w:szCs w:val="36"/>
          <w:highlight w:val="none"/>
        </w:rPr>
      </w:pPr>
    </w:p>
    <w:p>
      <w:pPr>
        <w:pStyle w:val="3"/>
        <w:jc w:val="center"/>
        <w:rPr>
          <w:rFonts w:ascii="Times New Roman" w:hAnsi="Times New Roman" w:eastAsia="宋体"/>
          <w:color w:val="auto"/>
          <w:highlight w:val="none"/>
        </w:rPr>
      </w:pPr>
      <w:bookmarkStart w:id="185" w:name="_Toc61529864"/>
      <w:r>
        <w:rPr>
          <w:rFonts w:ascii="Times New Roman" w:hAnsi="Times New Roman" w:eastAsia="宋体"/>
          <w:color w:val="auto"/>
          <w:highlight w:val="none"/>
        </w:rPr>
        <w:t>第六章 投标文件格式</w:t>
      </w:r>
      <w:bookmarkEnd w:id="184"/>
      <w:bookmarkEnd w:id="185"/>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widowControl/>
        <w:jc w:val="left"/>
        <w:rPr>
          <w:rFonts w:ascii="Times New Roman" w:hAnsi="Times New Roman"/>
          <w:b/>
          <w:color w:val="auto"/>
          <w:sz w:val="52"/>
          <w:highlight w:val="none"/>
        </w:rPr>
      </w:pPr>
      <w:r>
        <w:rPr>
          <w:rFonts w:ascii="Times New Roman" w:hAnsi="Times New Roman"/>
          <w:b/>
          <w:color w:val="auto"/>
          <w:sz w:val="52"/>
          <w:highlight w:val="none"/>
        </w:rPr>
        <w:br w:type="page"/>
      </w:r>
    </w:p>
    <w:p>
      <w:pPr>
        <w:spacing w:line="360" w:lineRule="auto"/>
        <w:rPr>
          <w:rFonts w:ascii="Times New Roman" w:hAnsi="Times New Roman"/>
          <w:b/>
          <w:color w:val="auto"/>
          <w:sz w:val="52"/>
          <w:highlight w:val="none"/>
        </w:rPr>
      </w:pPr>
    </w:p>
    <w:p>
      <w:pPr>
        <w:spacing w:line="360" w:lineRule="auto"/>
        <w:rPr>
          <w:rFonts w:ascii="Times New Roman" w:hAnsi="Times New Roman"/>
          <w:b/>
          <w:color w:val="auto"/>
          <w:sz w:val="52"/>
          <w:highlight w:val="none"/>
        </w:rPr>
      </w:pPr>
    </w:p>
    <w:p>
      <w:pPr>
        <w:ind w:left="1050" w:hanging="1050"/>
        <w:rPr>
          <w:rFonts w:ascii="Times New Roman" w:hAnsi="Times New Roman"/>
          <w:color w:val="auto"/>
          <w:highlight w:val="none"/>
        </w:rPr>
      </w:pPr>
      <w:bookmarkStart w:id="186" w:name="_Toc439325709"/>
      <w:bookmarkStart w:id="187" w:name="_Toc454875049"/>
      <w:bookmarkStart w:id="188" w:name="_Toc441844112"/>
    </w:p>
    <w:p>
      <w:pPr>
        <w:ind w:left="1050" w:hanging="1050"/>
        <w:rPr>
          <w:rFonts w:ascii="Times New Roman" w:hAnsi="Times New Roman"/>
          <w:color w:val="auto"/>
          <w:highlight w:val="none"/>
        </w:rPr>
      </w:pPr>
    </w:p>
    <w:p>
      <w:pPr>
        <w:spacing w:after="60" w:line="360" w:lineRule="auto"/>
        <w:ind w:left="2349" w:hanging="2349" w:hangingChars="500"/>
        <w:jc w:val="center"/>
        <w:outlineLvl w:val="1"/>
        <w:rPr>
          <w:rFonts w:ascii="Times New Roman" w:hAnsi="Times New Roman"/>
          <w:b/>
          <w:bCs/>
          <w:color w:val="auto"/>
          <w:spacing w:val="-6"/>
          <w:sz w:val="48"/>
          <w:szCs w:val="48"/>
          <w:highlight w:val="none"/>
        </w:rPr>
      </w:pPr>
      <w:bookmarkStart w:id="189" w:name="_Toc61529865"/>
      <w:r>
        <w:rPr>
          <w:rFonts w:ascii="Times New Roman" w:hAnsi="Times New Roman"/>
          <w:b/>
          <w:bCs/>
          <w:color w:val="auto"/>
          <w:spacing w:val="-6"/>
          <w:sz w:val="48"/>
          <w:szCs w:val="48"/>
          <w:highlight w:val="none"/>
        </w:rPr>
        <w:t>一、价格部分文件</w:t>
      </w:r>
      <w:bookmarkEnd w:id="186"/>
      <w:bookmarkEnd w:id="187"/>
      <w:bookmarkEnd w:id="188"/>
      <w:bookmarkEnd w:id="189"/>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rPr>
          <w:rFonts w:ascii="Times New Roman" w:hAnsi="Times New Roman"/>
          <w:b/>
          <w:color w:val="auto"/>
          <w:sz w:val="32"/>
          <w:szCs w:val="32"/>
          <w:highlight w:val="none"/>
          <w:u w:val="single"/>
        </w:rPr>
      </w:pPr>
      <w:r>
        <w:rPr>
          <w:rFonts w:ascii="Times New Roman" w:hAnsi="Times New Roman" w:eastAsia="新宋体"/>
          <w:b/>
          <w:bCs/>
          <w:color w:val="auto"/>
          <w:spacing w:val="-6"/>
          <w:sz w:val="32"/>
          <w:szCs w:val="32"/>
          <w:highlight w:val="none"/>
        </w:rPr>
        <w:t xml:space="preserve">项目名称: </w:t>
      </w:r>
      <w:r>
        <w:rPr>
          <w:rFonts w:hint="eastAsia" w:ascii="Times New Roman" w:hAnsi="Times New Roman" w:eastAsia="新宋体"/>
          <w:b/>
          <w:bCs/>
          <w:color w:val="auto"/>
          <w:spacing w:val="-6"/>
          <w:sz w:val="32"/>
          <w:szCs w:val="32"/>
          <w:highlight w:val="none"/>
        </w:rPr>
        <w:t>东莞市轨道交通有限公司运营分公司2021年生产设备采购项目</w:t>
      </w:r>
    </w:p>
    <w:p>
      <w:pPr>
        <w:spacing w:after="60" w:line="360" w:lineRule="auto"/>
        <w:rPr>
          <w:rFonts w:ascii="Times New Roman" w:hAnsi="Times New Roman" w:eastAsia="新宋体"/>
          <w:b/>
          <w:bCs/>
          <w:color w:val="auto"/>
          <w:sz w:val="32"/>
          <w:szCs w:val="32"/>
          <w:highlight w:val="none"/>
        </w:rPr>
      </w:pPr>
    </w:p>
    <w:p>
      <w:pPr>
        <w:spacing w:after="60" w:line="360" w:lineRule="auto"/>
        <w:rPr>
          <w:rFonts w:ascii="Times New Roman" w:hAnsi="Times New Roman"/>
          <w:b/>
          <w:color w:val="auto"/>
          <w:sz w:val="32"/>
          <w:szCs w:val="32"/>
          <w:highlight w:val="none"/>
          <w:u w:val="single"/>
        </w:rPr>
      </w:pPr>
      <w:r>
        <w:rPr>
          <w:rFonts w:hint="eastAsia" w:ascii="Times New Roman" w:hAnsi="Times New Roman" w:eastAsia="新宋体"/>
          <w:b/>
          <w:bCs/>
          <w:color w:val="auto"/>
          <w:sz w:val="32"/>
          <w:szCs w:val="32"/>
          <w:highlight w:val="none"/>
        </w:rPr>
        <w:t>项目</w:t>
      </w:r>
      <w:r>
        <w:rPr>
          <w:rFonts w:ascii="Times New Roman" w:hAnsi="Times New Roman" w:eastAsia="新宋体"/>
          <w:b/>
          <w:bCs/>
          <w:color w:val="auto"/>
          <w:sz w:val="32"/>
          <w:szCs w:val="32"/>
          <w:highlight w:val="none"/>
        </w:rPr>
        <w:t>编号:</w:t>
      </w:r>
      <w:r>
        <w:rPr>
          <w:rFonts w:hint="eastAsia" w:ascii="Times New Roman" w:hAnsi="Times New Roman" w:eastAsia="新宋体"/>
          <w:b/>
          <w:bCs/>
          <w:color w:val="auto"/>
          <w:sz w:val="32"/>
          <w:szCs w:val="32"/>
          <w:highlight w:val="none"/>
        </w:rPr>
        <w:t xml:space="preserve"> GXDG21016                   </w:t>
      </w:r>
    </w:p>
    <w:p>
      <w:pPr>
        <w:tabs>
          <w:tab w:val="left" w:pos="1440"/>
          <w:tab w:val="left" w:pos="1620"/>
        </w:tabs>
        <w:spacing w:after="60" w:line="360" w:lineRule="auto"/>
        <w:rPr>
          <w:rFonts w:ascii="Times New Roman" w:hAnsi="Times New Roman"/>
          <w:b/>
          <w:color w:val="auto"/>
          <w:sz w:val="32"/>
          <w:szCs w:val="32"/>
          <w:highlight w:val="none"/>
        </w:rPr>
      </w:pPr>
    </w:p>
    <w:p>
      <w:pPr>
        <w:tabs>
          <w:tab w:val="left" w:pos="1440"/>
          <w:tab w:val="left" w:pos="1620"/>
        </w:tabs>
        <w:spacing w:after="60" w:line="360" w:lineRule="auto"/>
        <w:rPr>
          <w:rFonts w:ascii="Times New Roman" w:hAnsi="Times New Roman"/>
          <w:color w:val="auto"/>
          <w:highlight w:val="none"/>
          <w:u w:val="single"/>
        </w:rPr>
      </w:pPr>
      <w:r>
        <w:rPr>
          <w:rFonts w:ascii="Times New Roman" w:hAnsi="Times New Roman"/>
          <w:b/>
          <w:color w:val="auto"/>
          <w:sz w:val="32"/>
          <w:szCs w:val="32"/>
          <w:highlight w:val="none"/>
        </w:rPr>
        <w:t>投 标 人（</w:t>
      </w:r>
      <w:r>
        <w:rPr>
          <w:rFonts w:hint="eastAsia" w:ascii="Times New Roman" w:hAnsi="Times New Roman"/>
          <w:b/>
          <w:color w:val="auto"/>
          <w:sz w:val="32"/>
          <w:szCs w:val="32"/>
          <w:highlight w:val="none"/>
        </w:rPr>
        <w:t>加盖公章</w:t>
      </w:r>
      <w:r>
        <w:rPr>
          <w:rFonts w:ascii="Times New Roman" w:hAnsi="Times New Roman"/>
          <w:b/>
          <w:color w:val="auto"/>
          <w:sz w:val="32"/>
          <w:szCs w:val="32"/>
          <w:highlight w:val="none"/>
        </w:rPr>
        <w:t>）:</w:t>
      </w:r>
    </w:p>
    <w:p>
      <w:pPr>
        <w:spacing w:line="560" w:lineRule="exact"/>
        <w:rPr>
          <w:rFonts w:ascii="Times New Roman" w:hAnsi="Times New Roman"/>
          <w:b/>
          <w:color w:val="auto"/>
          <w:sz w:val="32"/>
          <w:szCs w:val="32"/>
          <w:highlight w:val="none"/>
        </w:rPr>
      </w:pPr>
    </w:p>
    <w:p>
      <w:pPr>
        <w:spacing w:line="560" w:lineRule="exact"/>
        <w:rPr>
          <w:rFonts w:ascii="Times New Roman" w:hAnsi="Times New Roman"/>
          <w:b/>
          <w:color w:val="auto"/>
          <w:sz w:val="32"/>
          <w:szCs w:val="32"/>
          <w:highlight w:val="none"/>
        </w:rPr>
      </w:pPr>
      <w:r>
        <w:rPr>
          <w:rFonts w:hint="eastAsia" w:ascii="宋体" w:hAnsi="宋体" w:eastAsia="宋体" w:cs="宋体"/>
          <w:b/>
          <w:color w:val="auto"/>
          <w:sz w:val="32"/>
          <w:szCs w:val="32"/>
          <w:highlight w:val="none"/>
        </w:rPr>
        <w:t>投标人法定代表人或被授权人（签名或盖私章）</w:t>
      </w:r>
      <w:r>
        <w:rPr>
          <w:rFonts w:ascii="Times New Roman" w:hAnsi="Times New Roman"/>
          <w:b/>
          <w:color w:val="auto"/>
          <w:sz w:val="32"/>
          <w:szCs w:val="32"/>
          <w:highlight w:val="none"/>
        </w:rPr>
        <w:t>：</w:t>
      </w:r>
    </w:p>
    <w:p>
      <w:pPr>
        <w:spacing w:after="60" w:line="360" w:lineRule="auto"/>
        <w:rPr>
          <w:rFonts w:ascii="Times New Roman" w:hAnsi="Times New Roman"/>
          <w:b/>
          <w:color w:val="auto"/>
          <w:sz w:val="52"/>
          <w:highlight w:val="none"/>
        </w:rPr>
      </w:pPr>
    </w:p>
    <w:p>
      <w:pPr>
        <w:spacing w:after="60" w:line="360" w:lineRule="auto"/>
        <w:jc w:val="center"/>
        <w:rPr>
          <w:rFonts w:ascii="Times New Roman" w:hAnsi="Times New Roman"/>
          <w:b/>
          <w:color w:val="auto"/>
          <w:sz w:val="52"/>
          <w:highlight w:val="none"/>
        </w:rPr>
      </w:pPr>
      <w:r>
        <w:rPr>
          <w:rFonts w:hint="eastAsia" w:ascii="Times New Roman" w:hAnsi="Times New Roman"/>
          <w:b/>
          <w:color w:val="auto"/>
          <w:sz w:val="30"/>
          <w:szCs w:val="32"/>
          <w:highlight w:val="none"/>
        </w:rPr>
        <w:t>二〇二</w:t>
      </w:r>
      <w:r>
        <w:rPr>
          <w:rFonts w:hint="eastAsia" w:ascii="Times New Roman" w:hAnsi="Times New Roman"/>
          <w:b/>
          <w:color w:val="auto"/>
          <w:sz w:val="30"/>
          <w:szCs w:val="32"/>
          <w:highlight w:val="none"/>
          <w:lang w:eastAsia="zh-CN"/>
        </w:rPr>
        <w:t>一</w:t>
      </w:r>
      <w:r>
        <w:rPr>
          <w:rFonts w:ascii="Times New Roman" w:hAnsi="Times New Roman"/>
          <w:b/>
          <w:color w:val="auto"/>
          <w:sz w:val="30"/>
          <w:szCs w:val="32"/>
          <w:highlight w:val="none"/>
        </w:rPr>
        <w:t>年  月</w:t>
      </w:r>
      <w:bookmarkStart w:id="190" w:name="_Toc441844113"/>
      <w:r>
        <w:rPr>
          <w:rFonts w:hint="eastAsia" w:ascii="Times New Roman" w:hAnsi="Times New Roman"/>
          <w:b/>
          <w:color w:val="auto"/>
          <w:sz w:val="30"/>
          <w:szCs w:val="32"/>
          <w:highlight w:val="none"/>
        </w:rPr>
        <w:t xml:space="preserve"> </w:t>
      </w:r>
      <w:r>
        <w:rPr>
          <w:rFonts w:ascii="Times New Roman" w:hAnsi="Times New Roman"/>
          <w:b/>
          <w:color w:val="auto"/>
          <w:sz w:val="30"/>
          <w:szCs w:val="32"/>
          <w:highlight w:val="none"/>
        </w:rPr>
        <w:t xml:space="preserve"> </w:t>
      </w:r>
      <w:r>
        <w:rPr>
          <w:rFonts w:hint="eastAsia" w:ascii="Times New Roman" w:hAnsi="Times New Roman"/>
          <w:b/>
          <w:color w:val="auto"/>
          <w:sz w:val="30"/>
          <w:szCs w:val="32"/>
          <w:highlight w:val="none"/>
        </w:rPr>
        <w:t>日</w:t>
      </w:r>
    </w:p>
    <w:p>
      <w:pPr>
        <w:widowControl/>
        <w:jc w:val="left"/>
        <w:rPr>
          <w:rFonts w:ascii="Times New Roman" w:hAnsi="Times New Roman"/>
          <w:b/>
          <w:color w:val="auto"/>
          <w:szCs w:val="21"/>
          <w:highlight w:val="none"/>
        </w:rPr>
      </w:pPr>
      <w:r>
        <w:rPr>
          <w:rFonts w:ascii="Times New Roman" w:hAnsi="Times New Roman"/>
          <w:b/>
          <w:color w:val="auto"/>
          <w:szCs w:val="21"/>
          <w:highlight w:val="none"/>
        </w:rPr>
        <w:br w:type="page"/>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outlineLvl w:val="2"/>
        <w:rPr>
          <w:rFonts w:ascii="宋体" w:hAnsi="宋体"/>
          <w:b/>
          <w:color w:val="auto"/>
          <w:sz w:val="24"/>
          <w:szCs w:val="24"/>
          <w:highlight w:val="none"/>
        </w:rPr>
      </w:pPr>
      <w:bookmarkStart w:id="191" w:name="_Toc61529866"/>
      <w:r>
        <w:rPr>
          <w:rFonts w:ascii="宋体" w:hAnsi="宋体"/>
          <w:b/>
          <w:color w:val="auto"/>
          <w:sz w:val="24"/>
          <w:szCs w:val="24"/>
          <w:highlight w:val="none"/>
        </w:rPr>
        <w:t>1、投标报价一览表</w:t>
      </w:r>
      <w:bookmarkEnd w:id="190"/>
      <w:bookmarkEnd w:id="191"/>
    </w:p>
    <w:p>
      <w:pPr>
        <w:pStyle w:val="25"/>
        <w:spacing w:line="360" w:lineRule="auto"/>
        <w:jc w:val="left"/>
        <w:rPr>
          <w:rFonts w:hAnsi="宋体" w:cs="Times New Roman"/>
          <w:color w:val="auto"/>
          <w:sz w:val="22"/>
          <w:highlight w:val="none"/>
        </w:rPr>
      </w:pPr>
    </w:p>
    <w:p>
      <w:pPr>
        <w:pStyle w:val="25"/>
        <w:spacing w:line="360" w:lineRule="auto"/>
        <w:jc w:val="left"/>
        <w:rPr>
          <w:rFonts w:hAnsi="宋体" w:cs="Times New Roman"/>
          <w:color w:val="auto"/>
          <w:sz w:val="22"/>
          <w:highlight w:val="none"/>
        </w:rPr>
      </w:pPr>
      <w:r>
        <w:rPr>
          <w:rFonts w:hint="eastAsia" w:hAnsi="宋体" w:cs="Times New Roman"/>
          <w:color w:val="auto"/>
          <w:sz w:val="22"/>
          <w:highlight w:val="none"/>
        </w:rPr>
        <w:t xml:space="preserve">项目名称：东莞市轨道交通有限公司运营分公司2021年生产设备采购项目 </w:t>
      </w:r>
      <w:r>
        <w:rPr>
          <w:rFonts w:hAnsi="宋体" w:cs="Times New Roman"/>
          <w:color w:val="auto"/>
          <w:sz w:val="22"/>
          <w:highlight w:val="none"/>
        </w:rPr>
        <w:t xml:space="preserve">                    </w:t>
      </w:r>
      <w:r>
        <w:rPr>
          <w:rFonts w:hint="eastAsia" w:hAnsi="宋体" w:cs="Times New Roman"/>
          <w:color w:val="auto"/>
          <w:sz w:val="22"/>
          <w:highlight w:val="none"/>
          <w:lang w:val="en-US" w:eastAsia="zh-CN"/>
        </w:rPr>
        <w:t xml:space="preserve">                </w:t>
      </w:r>
      <w:r>
        <w:rPr>
          <w:rFonts w:hint="eastAsia" w:hAnsi="宋体" w:cs="Times New Roman"/>
          <w:color w:val="auto"/>
          <w:sz w:val="22"/>
          <w:highlight w:val="none"/>
        </w:rPr>
        <w:t>项目</w:t>
      </w:r>
      <w:r>
        <w:rPr>
          <w:rFonts w:hAnsi="宋体" w:cs="Times New Roman"/>
          <w:color w:val="auto"/>
          <w:sz w:val="22"/>
          <w:highlight w:val="none"/>
        </w:rPr>
        <w:t>编号：</w:t>
      </w:r>
      <w:r>
        <w:rPr>
          <w:rFonts w:hint="eastAsia" w:hAnsi="宋体" w:cs="Times New Roman"/>
          <w:color w:val="auto"/>
          <w:sz w:val="22"/>
          <w:highlight w:val="none"/>
        </w:rPr>
        <w:t>GXDG21016</w:t>
      </w:r>
      <w:r>
        <w:rPr>
          <w:rFonts w:hAnsi="宋体" w:cs="Times New Roman"/>
          <w:color w:val="auto"/>
          <w:sz w:val="22"/>
          <w:highlight w:val="none"/>
        </w:rPr>
        <w:t xml:space="preserve">                                      </w:t>
      </w:r>
    </w:p>
    <w:p>
      <w:pPr>
        <w:pStyle w:val="25"/>
        <w:spacing w:line="360" w:lineRule="auto"/>
        <w:jc w:val="right"/>
        <w:rPr>
          <w:rFonts w:hAnsi="宋体" w:cs="Times New Roman"/>
          <w:color w:val="auto"/>
          <w:sz w:val="22"/>
          <w:highlight w:val="none"/>
        </w:rPr>
      </w:pPr>
      <w:r>
        <w:rPr>
          <w:rFonts w:hAnsi="宋体" w:cs="Times New Roman"/>
          <w:color w:val="auto"/>
          <w:sz w:val="22"/>
          <w:highlight w:val="none"/>
        </w:rPr>
        <w:t>[货币单位：人民币元]</w:t>
      </w:r>
    </w:p>
    <w:tbl>
      <w:tblPr>
        <w:tblStyle w:val="51"/>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5"/>
        <w:gridCol w:w="2784"/>
        <w:gridCol w:w="2482"/>
        <w:gridCol w:w="1993"/>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 w:val="22"/>
                <w:szCs w:val="22"/>
                <w:highlight w:val="none"/>
                <w:lang w:val="zh-CN"/>
              </w:rPr>
            </w:pPr>
            <w:r>
              <w:rPr>
                <w:rFonts w:hint="eastAsia" w:ascii="宋体" w:hAnsi="宋体"/>
                <w:b/>
                <w:color w:val="auto"/>
                <w:sz w:val="22"/>
                <w:szCs w:val="22"/>
                <w:highlight w:val="none"/>
                <w:lang w:val="zh-CN"/>
              </w:rPr>
              <w:t>序号</w:t>
            </w:r>
          </w:p>
        </w:tc>
        <w:tc>
          <w:tcPr>
            <w:tcW w:w="27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 w:val="22"/>
                <w:szCs w:val="22"/>
                <w:highlight w:val="none"/>
                <w:lang w:val="zh-CN"/>
              </w:rPr>
            </w:pPr>
            <w:r>
              <w:rPr>
                <w:rFonts w:hint="eastAsia" w:ascii="宋体" w:hAnsi="宋体"/>
                <w:b/>
                <w:color w:val="auto"/>
                <w:sz w:val="22"/>
                <w:szCs w:val="22"/>
                <w:highlight w:val="none"/>
                <w:lang w:val="zh-CN"/>
              </w:rPr>
              <w:t>项目名称</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 w:val="22"/>
                <w:szCs w:val="22"/>
                <w:highlight w:val="none"/>
                <w:lang w:val="zh-CN"/>
              </w:rPr>
            </w:pPr>
            <w:r>
              <w:rPr>
                <w:rFonts w:hint="eastAsia" w:ascii="宋体" w:hAnsi="宋体" w:cs="宋体"/>
                <w:b/>
                <w:color w:val="auto"/>
                <w:sz w:val="22"/>
                <w:szCs w:val="22"/>
                <w:highlight w:val="none"/>
                <w:lang w:val="zh-CN"/>
              </w:rPr>
              <w:t>投标总报价</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 w:val="22"/>
                <w:szCs w:val="22"/>
                <w:highlight w:val="none"/>
                <w:lang w:val="zh-CN"/>
              </w:rPr>
            </w:pPr>
            <w:r>
              <w:rPr>
                <w:rFonts w:hint="eastAsia" w:ascii="宋体" w:hAnsi="宋体"/>
                <w:b/>
                <w:color w:val="auto"/>
                <w:sz w:val="22"/>
                <w:szCs w:val="22"/>
                <w:highlight w:val="none"/>
                <w:lang w:val="zh-CN"/>
              </w:rPr>
              <w:t>交货期</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 w:val="22"/>
                <w:szCs w:val="22"/>
                <w:highlight w:val="none"/>
                <w:lang w:val="zh-CN"/>
              </w:rPr>
            </w:pPr>
            <w:r>
              <w:rPr>
                <w:rFonts w:hint="eastAsia" w:ascii="宋体" w:hAnsi="宋体"/>
                <w:b/>
                <w:color w:val="auto"/>
                <w:sz w:val="22"/>
                <w:szCs w:val="22"/>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w:t>
            </w:r>
          </w:p>
        </w:tc>
        <w:tc>
          <w:tcPr>
            <w:tcW w:w="27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东莞市轨道交通有限公司运营分公司2021年生产设备采购项目</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大 写： 人民币</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w:t>
            </w:r>
          </w:p>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小 写：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auto"/>
                <w:sz w:val="22"/>
                <w:szCs w:val="22"/>
                <w:highlight w:val="none"/>
                <w:lang w:val="zh-CN"/>
              </w:rPr>
            </w:pPr>
            <w:r>
              <w:rPr>
                <w:rFonts w:hint="eastAsia" w:ascii="宋体" w:hAnsi="宋体"/>
                <w:color w:val="auto"/>
                <w:sz w:val="22"/>
                <w:szCs w:val="22"/>
                <w:highlight w:val="none"/>
              </w:rPr>
              <w:t>自合同签订之日起</w:t>
            </w:r>
            <w:r>
              <w:rPr>
                <w:rFonts w:hint="eastAsia" w:ascii="宋体" w:hAnsi="宋体" w:cs="宋体"/>
                <w:color w:val="auto"/>
                <w:sz w:val="22"/>
                <w:szCs w:val="22"/>
                <w:highlight w:val="none"/>
                <w:lang w:val="en-US" w:eastAsia="zh-CN"/>
              </w:rPr>
              <w:t>（参照用户需求书规定，最长不超过90个日历日）</w:t>
            </w:r>
            <w:r>
              <w:rPr>
                <w:rFonts w:hint="eastAsia" w:ascii="宋体" w:hAnsi="宋体"/>
                <w:color w:val="auto"/>
                <w:sz w:val="22"/>
                <w:szCs w:val="22"/>
                <w:highlight w:val="none"/>
                <w:lang w:val="en-US" w:eastAsia="zh-CN"/>
              </w:rPr>
              <w:t>个日历日</w:t>
            </w:r>
            <w:r>
              <w:rPr>
                <w:rFonts w:hint="eastAsia" w:ascii="宋体" w:hAnsi="宋体"/>
                <w:color w:val="auto"/>
                <w:sz w:val="22"/>
                <w:szCs w:val="22"/>
                <w:highlight w:val="none"/>
              </w:rPr>
              <w:t>内完成设备供货、安装、调试并试运行。</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 w:val="22"/>
                <w:szCs w:val="22"/>
                <w:highlight w:val="none"/>
                <w:lang w:val="zh-CN"/>
              </w:rPr>
            </w:pPr>
          </w:p>
        </w:tc>
      </w:tr>
    </w:tbl>
    <w:p>
      <w:pPr>
        <w:spacing w:line="360" w:lineRule="auto"/>
        <w:ind w:left="2" w:leftChars="1"/>
        <w:rPr>
          <w:rFonts w:ascii="宋体" w:hAnsi="宋体"/>
          <w:color w:val="auto"/>
          <w:sz w:val="22"/>
          <w:szCs w:val="22"/>
          <w:highlight w:val="none"/>
          <w:lang w:val="zh-CN"/>
        </w:rPr>
      </w:pPr>
      <w:r>
        <w:rPr>
          <w:rFonts w:ascii="宋体" w:hAnsi="宋体"/>
          <w:color w:val="auto"/>
          <w:sz w:val="22"/>
          <w:szCs w:val="22"/>
          <w:highlight w:val="none"/>
          <w:lang w:val="zh-CN"/>
        </w:rPr>
        <w:t>注：</w:t>
      </w:r>
    </w:p>
    <w:p>
      <w:pPr>
        <w:pStyle w:val="6"/>
        <w:ind w:firstLine="220" w:firstLineChars="100"/>
        <w:rPr>
          <w:rFonts w:ascii="宋体" w:hAnsi="宋体"/>
          <w:color w:val="auto"/>
          <w:sz w:val="22"/>
          <w:szCs w:val="22"/>
          <w:highlight w:val="none"/>
        </w:rPr>
      </w:pPr>
      <w:r>
        <w:rPr>
          <w:rFonts w:hint="eastAsia" w:ascii="宋体" w:hAnsi="宋体"/>
          <w:color w:val="auto"/>
          <w:sz w:val="22"/>
          <w:szCs w:val="22"/>
          <w:highlight w:val="none"/>
        </w:rPr>
        <w:t>1.此表的投标总价是所有需招标人支付的本次采购标的金额总数即</w:t>
      </w:r>
      <w:r>
        <w:rPr>
          <w:rFonts w:hint="eastAsia" w:ascii="宋体" w:hAnsi="宋体"/>
          <w:b/>
          <w:color w:val="auto"/>
          <w:sz w:val="22"/>
          <w:szCs w:val="22"/>
          <w:highlight w:val="none"/>
        </w:rPr>
        <w:t>投标总报价</w:t>
      </w:r>
      <w:r>
        <w:rPr>
          <w:rFonts w:hint="eastAsia" w:ascii="宋体" w:hAnsi="宋体"/>
          <w:color w:val="auto"/>
          <w:sz w:val="22"/>
          <w:szCs w:val="22"/>
          <w:highlight w:val="none"/>
        </w:rPr>
        <w:t>。</w:t>
      </w:r>
    </w:p>
    <w:p>
      <w:pPr>
        <w:pStyle w:val="6"/>
        <w:ind w:firstLine="220" w:firstLineChars="100"/>
        <w:rPr>
          <w:rFonts w:ascii="宋体" w:hAnsi="宋体"/>
          <w:color w:val="auto"/>
          <w:sz w:val="22"/>
          <w:szCs w:val="22"/>
          <w:highlight w:val="none"/>
        </w:rPr>
      </w:pPr>
      <w:r>
        <w:rPr>
          <w:rFonts w:hint="eastAsia" w:ascii="宋体" w:hAnsi="宋体"/>
          <w:color w:val="auto"/>
          <w:sz w:val="22"/>
          <w:szCs w:val="22"/>
          <w:highlight w:val="none"/>
        </w:rPr>
        <w:t>2.投标总价栏用文字和数字两种方式表示投标总价。</w:t>
      </w:r>
    </w:p>
    <w:p>
      <w:pPr>
        <w:pStyle w:val="6"/>
        <w:ind w:firstLine="220" w:firstLineChars="100"/>
        <w:rPr>
          <w:rFonts w:ascii="宋体" w:hAnsi="宋体"/>
          <w:color w:val="auto"/>
          <w:sz w:val="22"/>
          <w:szCs w:val="22"/>
          <w:highlight w:val="none"/>
        </w:rPr>
      </w:pPr>
      <w:r>
        <w:rPr>
          <w:rFonts w:hint="eastAsia" w:ascii="宋体" w:hAnsi="宋体"/>
          <w:color w:val="auto"/>
          <w:sz w:val="22"/>
          <w:szCs w:val="22"/>
          <w:highlight w:val="none"/>
        </w:rPr>
        <w:t>3.投标总价的大小写不一致的，以大写为准。</w:t>
      </w:r>
    </w:p>
    <w:p>
      <w:pPr>
        <w:pStyle w:val="25"/>
        <w:spacing w:line="360" w:lineRule="auto"/>
        <w:ind w:firstLine="220" w:firstLineChars="100"/>
        <w:rPr>
          <w:rFonts w:hAnsi="宋体"/>
          <w:color w:val="auto"/>
          <w:sz w:val="22"/>
          <w:highlight w:val="none"/>
        </w:rPr>
      </w:pPr>
      <w:r>
        <w:rPr>
          <w:rFonts w:hint="eastAsia" w:hAnsi="宋体"/>
          <w:color w:val="auto"/>
          <w:sz w:val="22"/>
          <w:highlight w:val="none"/>
        </w:rPr>
        <w:t>4.投标报价结果以人民币元为单位，保留到小数点后两位。</w:t>
      </w:r>
    </w:p>
    <w:p>
      <w:pPr>
        <w:overflowPunct w:val="0"/>
        <w:adjustRightInd w:val="0"/>
        <w:spacing w:line="360" w:lineRule="auto"/>
        <w:ind w:firstLine="220" w:firstLineChars="100"/>
        <w:rPr>
          <w:rFonts w:ascii="宋体" w:hAnsi="宋体"/>
          <w:color w:val="auto"/>
          <w:sz w:val="22"/>
          <w:szCs w:val="22"/>
          <w:highlight w:val="none"/>
        </w:rPr>
      </w:pPr>
      <w:r>
        <w:rPr>
          <w:rFonts w:hint="eastAsia" w:ascii="宋体" w:hAnsi="宋体"/>
          <w:color w:val="auto"/>
          <w:sz w:val="22"/>
          <w:szCs w:val="22"/>
          <w:highlight w:val="none"/>
        </w:rPr>
        <w:t>5.投标总价必须准确唯一，且</w:t>
      </w:r>
      <w:r>
        <w:rPr>
          <w:rFonts w:hint="eastAsia" w:ascii="宋体" w:hAnsi="宋体"/>
          <w:b/>
          <w:bCs/>
          <w:color w:val="auto"/>
          <w:sz w:val="22"/>
          <w:szCs w:val="22"/>
          <w:highlight w:val="none"/>
        </w:rPr>
        <w:t>投标总报价不能超过本项目项各包号预算价，否则按废标处理。</w:t>
      </w:r>
    </w:p>
    <w:p>
      <w:pPr>
        <w:snapToGrid w:val="0"/>
        <w:spacing w:line="360" w:lineRule="auto"/>
        <w:rPr>
          <w:rFonts w:ascii="宋体" w:hAnsi="宋体"/>
          <w:bCs/>
          <w:color w:val="auto"/>
          <w:sz w:val="22"/>
          <w:szCs w:val="22"/>
          <w:highlight w:val="none"/>
        </w:rPr>
      </w:pPr>
    </w:p>
    <w:p>
      <w:pPr>
        <w:snapToGrid w:val="0"/>
        <w:spacing w:line="360" w:lineRule="auto"/>
        <w:rPr>
          <w:rFonts w:ascii="宋体" w:hAnsi="宋体"/>
          <w:bCs/>
          <w:color w:val="auto"/>
          <w:sz w:val="22"/>
          <w:szCs w:val="22"/>
          <w:highlight w:val="none"/>
        </w:rPr>
      </w:pPr>
    </w:p>
    <w:p>
      <w:pPr>
        <w:pStyle w:val="99"/>
        <w:spacing w:before="936" w:beforeLines="300" w:line="360" w:lineRule="auto"/>
        <w:ind w:firstLine="3520" w:firstLineChars="1600"/>
        <w:rPr>
          <w:rFonts w:ascii="宋体" w:hAnsi="宋体" w:eastAsia="宋体"/>
          <w:color w:val="auto"/>
          <w:sz w:val="22"/>
          <w:szCs w:val="22"/>
          <w:highlight w:val="none"/>
          <w:u w:val="single"/>
        </w:rPr>
      </w:pPr>
      <w:r>
        <w:rPr>
          <w:rFonts w:hint="eastAsia" w:ascii="宋体" w:hAnsi="宋体" w:eastAsia="宋体"/>
          <w:color w:val="auto"/>
          <w:sz w:val="22"/>
          <w:szCs w:val="22"/>
          <w:highlight w:val="none"/>
        </w:rPr>
        <w:t xml:space="preserve">投标人名称（加盖公章）： </w:t>
      </w:r>
      <w:r>
        <w:rPr>
          <w:rFonts w:hint="eastAsia" w:ascii="宋体" w:hAnsi="宋体" w:eastAsia="宋体"/>
          <w:color w:val="auto"/>
          <w:sz w:val="22"/>
          <w:szCs w:val="22"/>
          <w:highlight w:val="none"/>
          <w:u w:val="single"/>
        </w:rPr>
        <w:t xml:space="preserve">                               </w:t>
      </w:r>
    </w:p>
    <w:p>
      <w:pPr>
        <w:pStyle w:val="99"/>
        <w:spacing w:line="360" w:lineRule="auto"/>
        <w:ind w:firstLine="3542" w:firstLineChars="1610"/>
        <w:rPr>
          <w:rFonts w:ascii="宋体" w:hAnsi="宋体" w:eastAsia="宋体"/>
          <w:color w:val="auto"/>
          <w:sz w:val="22"/>
          <w:szCs w:val="22"/>
          <w:highlight w:val="none"/>
        </w:rPr>
      </w:pPr>
      <w:r>
        <w:rPr>
          <w:rFonts w:hint="eastAsia" w:ascii="宋体" w:hAnsi="宋体" w:eastAsia="宋体"/>
          <w:color w:val="auto"/>
          <w:sz w:val="22"/>
          <w:szCs w:val="22"/>
          <w:highlight w:val="none"/>
        </w:rPr>
        <w:t>投标人法定代表人或被授权人（签名或盖私章）：</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        </w:t>
      </w:r>
    </w:p>
    <w:p>
      <w:pPr>
        <w:pStyle w:val="99"/>
        <w:spacing w:line="360" w:lineRule="auto"/>
        <w:ind w:firstLine="3542" w:firstLineChars="1610"/>
        <w:rPr>
          <w:rFonts w:ascii="宋体" w:hAnsi="宋体" w:eastAsia="宋体"/>
          <w:color w:val="auto"/>
          <w:sz w:val="22"/>
          <w:szCs w:val="22"/>
          <w:highlight w:val="none"/>
          <w:u w:val="single"/>
        </w:rPr>
      </w:pPr>
      <w:r>
        <w:rPr>
          <w:rFonts w:hint="eastAsia" w:ascii="宋体" w:hAnsi="宋体" w:eastAsia="宋体"/>
          <w:color w:val="auto"/>
          <w:sz w:val="22"/>
          <w:szCs w:val="22"/>
          <w:highlight w:val="none"/>
        </w:rPr>
        <w:t>日</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期：</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年</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月</w:t>
      </w:r>
      <w:r>
        <w:rPr>
          <w:rFonts w:ascii="宋体" w:hAnsi="宋体" w:eastAsia="宋体"/>
          <w:color w:val="auto"/>
          <w:sz w:val="22"/>
          <w:szCs w:val="22"/>
          <w:highlight w:val="none"/>
        </w:rPr>
        <w:t xml:space="preserve">      </w:t>
      </w:r>
      <w:r>
        <w:rPr>
          <w:rFonts w:hint="eastAsia" w:ascii="宋体" w:hAnsi="宋体" w:eastAsia="宋体"/>
          <w:color w:val="auto"/>
          <w:sz w:val="22"/>
          <w:szCs w:val="22"/>
          <w:highlight w:val="none"/>
        </w:rPr>
        <w:t>日</w:t>
      </w:r>
    </w:p>
    <w:p>
      <w:pPr>
        <w:widowControl/>
        <w:jc w:val="left"/>
        <w:rPr>
          <w:rFonts w:ascii="Times New Roman" w:hAnsi="Times New Roman"/>
          <w:color w:val="auto"/>
          <w:szCs w:val="21"/>
          <w:highlight w:val="none"/>
        </w:rPr>
      </w:pPr>
      <w:r>
        <w:rPr>
          <w:rFonts w:ascii="Times New Roman" w:hAnsi="Times New Roman"/>
          <w:color w:val="auto"/>
          <w:szCs w:val="21"/>
          <w:highlight w:val="none"/>
        </w:rPr>
        <w:br w:type="page"/>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outlineLvl w:val="2"/>
        <w:rPr>
          <w:rFonts w:ascii="宋体" w:hAnsi="宋体" w:cs="宋体"/>
          <w:b/>
          <w:color w:val="auto"/>
          <w:sz w:val="24"/>
          <w:szCs w:val="24"/>
          <w:highlight w:val="none"/>
        </w:rPr>
      </w:pPr>
      <w:bookmarkStart w:id="192" w:name="_Toc61529867"/>
      <w:bookmarkStart w:id="193" w:name="_Toc498018966"/>
      <w:bookmarkStart w:id="194" w:name="_Toc17489"/>
      <w:r>
        <w:rPr>
          <w:rFonts w:hint="eastAsia" w:ascii="宋体" w:hAnsi="宋体" w:cs="宋体"/>
          <w:b/>
          <w:color w:val="auto"/>
          <w:sz w:val="24"/>
          <w:szCs w:val="24"/>
          <w:highlight w:val="none"/>
        </w:rPr>
        <w:t>2、投标分项报价表</w:t>
      </w:r>
      <w:bookmarkEnd w:id="192"/>
      <w:bookmarkEnd w:id="193"/>
      <w:bookmarkEnd w:id="194"/>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项目名称：东莞市轨道交通有限公司运营分公司2021年生产设备采购项目</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项目编号：GXDG21016</w:t>
      </w:r>
    </w:p>
    <w:p>
      <w:pPr>
        <w:spacing w:line="360" w:lineRule="auto"/>
        <w:ind w:firstLine="6510" w:firstLineChars="3100"/>
        <w:rPr>
          <w:rFonts w:ascii="宋体" w:hAnsi="宋体" w:cs="宋体"/>
          <w:color w:val="auto"/>
          <w:szCs w:val="21"/>
          <w:highlight w:val="none"/>
        </w:rPr>
      </w:pPr>
      <w:r>
        <w:rPr>
          <w:rFonts w:hint="eastAsia" w:ascii="宋体" w:hAnsi="宋体" w:cs="宋体"/>
          <w:color w:val="auto"/>
          <w:szCs w:val="21"/>
          <w:highlight w:val="none"/>
        </w:rPr>
        <w:t>[货币单位：人民币元]</w:t>
      </w:r>
      <w:r>
        <w:rPr>
          <w:rFonts w:hint="eastAsia" w:ascii="Times New Roman" w:hAnsi="Times New Roman"/>
          <w:color w:val="auto"/>
          <w:sz w:val="22"/>
          <w:highlight w:val="none"/>
        </w:rPr>
        <w:t xml:space="preserve">  </w:t>
      </w:r>
    </w:p>
    <w:tbl>
      <w:tblPr>
        <w:tblStyle w:val="5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387"/>
        <w:gridCol w:w="1094"/>
        <w:gridCol w:w="1094"/>
        <w:gridCol w:w="985"/>
        <w:gridCol w:w="1016"/>
        <w:gridCol w:w="98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23" w:type="pct"/>
            <w:noWrap w:val="0"/>
            <w:vAlign w:val="center"/>
          </w:tcPr>
          <w:p>
            <w:pPr>
              <w:spacing w:line="360" w:lineRule="auto"/>
              <w:jc w:val="center"/>
              <w:rPr>
                <w:rFonts w:hint="eastAsia" w:ascii="宋体" w:hAnsi="宋体"/>
                <w:b/>
                <w:bCs/>
                <w:color w:val="auto"/>
                <w:sz w:val="22"/>
                <w:szCs w:val="22"/>
                <w:highlight w:val="none"/>
              </w:rPr>
            </w:pPr>
            <w:r>
              <w:rPr>
                <w:rFonts w:ascii="Times New Roman" w:hAnsi="宋体"/>
                <w:b/>
                <w:color w:val="auto"/>
                <w:sz w:val="22"/>
                <w:highlight w:val="none"/>
              </w:rPr>
              <w:t>序号</w:t>
            </w:r>
          </w:p>
        </w:tc>
        <w:tc>
          <w:tcPr>
            <w:tcW w:w="1292" w:type="pct"/>
            <w:noWrap w:val="0"/>
            <w:vAlign w:val="center"/>
          </w:tcPr>
          <w:p>
            <w:pP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名称</w:t>
            </w:r>
          </w:p>
        </w:tc>
        <w:tc>
          <w:tcPr>
            <w:tcW w:w="592" w:type="pct"/>
            <w:noWrap w:val="0"/>
            <w:vAlign w:val="center"/>
          </w:tcPr>
          <w:p>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单位</w:t>
            </w:r>
          </w:p>
        </w:tc>
        <w:tc>
          <w:tcPr>
            <w:tcW w:w="592" w:type="pct"/>
            <w:noWrap w:val="0"/>
            <w:vAlign w:val="center"/>
          </w:tcPr>
          <w:p>
            <w:pP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规格型号</w:t>
            </w:r>
          </w:p>
        </w:tc>
        <w:tc>
          <w:tcPr>
            <w:tcW w:w="533" w:type="pct"/>
            <w:noWrap w:val="0"/>
            <w:vAlign w:val="top"/>
          </w:tcPr>
          <w:p>
            <w:pP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547" w:type="pct"/>
            <w:noWrap w:val="0"/>
            <w:vAlign w:val="center"/>
          </w:tcPr>
          <w:p>
            <w:pP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单价</w:t>
            </w:r>
          </w:p>
        </w:tc>
        <w:tc>
          <w:tcPr>
            <w:tcW w:w="533" w:type="pct"/>
            <w:noWrap w:val="0"/>
            <w:vAlign w:val="center"/>
          </w:tcPr>
          <w:p>
            <w:pP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总价</w:t>
            </w:r>
          </w:p>
        </w:tc>
        <w:tc>
          <w:tcPr>
            <w:tcW w:w="483" w:type="pct"/>
            <w:noWrap w:val="0"/>
            <w:vAlign w:val="center"/>
          </w:tcPr>
          <w:p>
            <w:pP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23" w:type="pct"/>
            <w:noWrap w:val="0"/>
            <w:vAlign w:val="center"/>
          </w:tcPr>
          <w:p>
            <w:pPr>
              <w:widowControl/>
              <w:spacing w:line="520" w:lineRule="exact"/>
              <w:jc w:val="center"/>
              <w:rPr>
                <w:rFonts w:ascii="宋体" w:hAnsi="宋体"/>
                <w:color w:val="auto"/>
                <w:sz w:val="22"/>
                <w:szCs w:val="22"/>
                <w:highlight w:val="none"/>
              </w:rPr>
            </w:pPr>
          </w:p>
        </w:tc>
        <w:tc>
          <w:tcPr>
            <w:tcW w:w="1292" w:type="pct"/>
            <w:noWrap w:val="0"/>
            <w:vAlign w:val="center"/>
          </w:tcPr>
          <w:p>
            <w:pPr>
              <w:widowControl/>
              <w:spacing w:line="520" w:lineRule="exact"/>
              <w:jc w:val="center"/>
              <w:rPr>
                <w:rFonts w:ascii="宋体" w:hAnsi="宋体"/>
                <w:color w:val="auto"/>
                <w:sz w:val="22"/>
                <w:szCs w:val="22"/>
                <w:highlight w:val="none"/>
              </w:rPr>
            </w:pPr>
          </w:p>
        </w:tc>
        <w:tc>
          <w:tcPr>
            <w:tcW w:w="592" w:type="pct"/>
            <w:noWrap w:val="0"/>
            <w:vAlign w:val="center"/>
          </w:tcPr>
          <w:p>
            <w:pPr>
              <w:widowControl/>
              <w:spacing w:line="520" w:lineRule="exact"/>
              <w:jc w:val="center"/>
              <w:rPr>
                <w:rFonts w:ascii="宋体" w:hAnsi="宋体"/>
                <w:color w:val="auto"/>
                <w:sz w:val="22"/>
                <w:szCs w:val="22"/>
                <w:highlight w:val="none"/>
              </w:rPr>
            </w:pPr>
          </w:p>
        </w:tc>
        <w:tc>
          <w:tcPr>
            <w:tcW w:w="592" w:type="pct"/>
            <w:noWrap w:val="0"/>
            <w:vAlign w:val="center"/>
          </w:tcPr>
          <w:p>
            <w:pPr>
              <w:spacing w:line="360" w:lineRule="auto"/>
              <w:jc w:val="center"/>
              <w:rPr>
                <w:rFonts w:ascii="宋体" w:hAnsi="宋体"/>
                <w:color w:val="auto"/>
                <w:sz w:val="22"/>
                <w:szCs w:val="22"/>
                <w:highlight w:val="none"/>
              </w:rPr>
            </w:pPr>
          </w:p>
        </w:tc>
        <w:tc>
          <w:tcPr>
            <w:tcW w:w="533" w:type="pct"/>
            <w:noWrap w:val="0"/>
            <w:vAlign w:val="top"/>
          </w:tcPr>
          <w:p>
            <w:pPr>
              <w:spacing w:line="360" w:lineRule="auto"/>
              <w:jc w:val="center"/>
              <w:rPr>
                <w:rFonts w:ascii="宋体" w:hAnsi="宋体"/>
                <w:color w:val="auto"/>
                <w:sz w:val="22"/>
                <w:szCs w:val="22"/>
                <w:highlight w:val="none"/>
              </w:rPr>
            </w:pPr>
          </w:p>
        </w:tc>
        <w:tc>
          <w:tcPr>
            <w:tcW w:w="547" w:type="pct"/>
            <w:noWrap w:val="0"/>
            <w:vAlign w:val="center"/>
          </w:tcPr>
          <w:p>
            <w:pPr>
              <w:spacing w:line="360" w:lineRule="auto"/>
              <w:jc w:val="center"/>
              <w:rPr>
                <w:rFonts w:ascii="宋体" w:hAnsi="宋体"/>
                <w:color w:val="auto"/>
                <w:sz w:val="22"/>
                <w:szCs w:val="22"/>
                <w:highlight w:val="none"/>
              </w:rPr>
            </w:pPr>
          </w:p>
        </w:tc>
        <w:tc>
          <w:tcPr>
            <w:tcW w:w="533" w:type="pct"/>
            <w:noWrap w:val="0"/>
            <w:vAlign w:val="center"/>
          </w:tcPr>
          <w:p>
            <w:pPr>
              <w:spacing w:line="360" w:lineRule="auto"/>
              <w:jc w:val="center"/>
              <w:rPr>
                <w:rFonts w:ascii="宋体" w:hAnsi="宋体"/>
                <w:color w:val="auto"/>
                <w:sz w:val="22"/>
                <w:szCs w:val="22"/>
                <w:highlight w:val="none"/>
              </w:rPr>
            </w:pPr>
          </w:p>
        </w:tc>
        <w:tc>
          <w:tcPr>
            <w:tcW w:w="483" w:type="pct"/>
            <w:noWrap w:val="0"/>
            <w:vAlign w:val="center"/>
          </w:tcPr>
          <w:p>
            <w:pPr>
              <w:spacing w:line="360" w:lineRule="auto"/>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23" w:type="pct"/>
            <w:noWrap w:val="0"/>
            <w:vAlign w:val="center"/>
          </w:tcPr>
          <w:p>
            <w:pPr>
              <w:widowControl/>
              <w:spacing w:line="520" w:lineRule="exact"/>
              <w:jc w:val="center"/>
              <w:rPr>
                <w:rFonts w:ascii="宋体" w:hAnsi="宋体"/>
                <w:color w:val="auto"/>
                <w:sz w:val="22"/>
                <w:szCs w:val="22"/>
                <w:highlight w:val="none"/>
              </w:rPr>
            </w:pPr>
          </w:p>
        </w:tc>
        <w:tc>
          <w:tcPr>
            <w:tcW w:w="1292" w:type="pct"/>
            <w:noWrap w:val="0"/>
            <w:vAlign w:val="center"/>
          </w:tcPr>
          <w:p>
            <w:pPr>
              <w:widowControl/>
              <w:spacing w:line="520" w:lineRule="exact"/>
              <w:jc w:val="center"/>
              <w:rPr>
                <w:rFonts w:ascii="宋体" w:hAnsi="宋体"/>
                <w:color w:val="auto"/>
                <w:sz w:val="22"/>
                <w:szCs w:val="22"/>
                <w:highlight w:val="none"/>
              </w:rPr>
            </w:pPr>
          </w:p>
        </w:tc>
        <w:tc>
          <w:tcPr>
            <w:tcW w:w="592" w:type="pct"/>
            <w:noWrap w:val="0"/>
            <w:vAlign w:val="center"/>
          </w:tcPr>
          <w:p>
            <w:pPr>
              <w:widowControl/>
              <w:spacing w:line="520" w:lineRule="exact"/>
              <w:jc w:val="center"/>
              <w:rPr>
                <w:rFonts w:ascii="宋体" w:hAnsi="宋体"/>
                <w:color w:val="auto"/>
                <w:sz w:val="22"/>
                <w:szCs w:val="22"/>
                <w:highlight w:val="none"/>
              </w:rPr>
            </w:pPr>
          </w:p>
        </w:tc>
        <w:tc>
          <w:tcPr>
            <w:tcW w:w="592" w:type="pct"/>
            <w:noWrap w:val="0"/>
            <w:vAlign w:val="center"/>
          </w:tcPr>
          <w:p>
            <w:pPr>
              <w:spacing w:line="360" w:lineRule="auto"/>
              <w:jc w:val="center"/>
              <w:rPr>
                <w:rFonts w:ascii="宋体" w:hAnsi="宋体"/>
                <w:color w:val="auto"/>
                <w:sz w:val="22"/>
                <w:szCs w:val="22"/>
                <w:highlight w:val="none"/>
              </w:rPr>
            </w:pPr>
          </w:p>
        </w:tc>
        <w:tc>
          <w:tcPr>
            <w:tcW w:w="533" w:type="pct"/>
            <w:noWrap w:val="0"/>
            <w:vAlign w:val="top"/>
          </w:tcPr>
          <w:p>
            <w:pPr>
              <w:spacing w:line="360" w:lineRule="auto"/>
              <w:jc w:val="center"/>
              <w:rPr>
                <w:rFonts w:ascii="宋体" w:hAnsi="宋体"/>
                <w:color w:val="auto"/>
                <w:sz w:val="22"/>
                <w:szCs w:val="22"/>
                <w:highlight w:val="none"/>
              </w:rPr>
            </w:pPr>
          </w:p>
        </w:tc>
        <w:tc>
          <w:tcPr>
            <w:tcW w:w="547" w:type="pct"/>
            <w:noWrap w:val="0"/>
            <w:vAlign w:val="center"/>
          </w:tcPr>
          <w:p>
            <w:pPr>
              <w:spacing w:line="360" w:lineRule="auto"/>
              <w:jc w:val="center"/>
              <w:rPr>
                <w:rFonts w:ascii="宋体" w:hAnsi="宋体"/>
                <w:color w:val="auto"/>
                <w:sz w:val="22"/>
                <w:szCs w:val="22"/>
                <w:highlight w:val="none"/>
              </w:rPr>
            </w:pPr>
          </w:p>
        </w:tc>
        <w:tc>
          <w:tcPr>
            <w:tcW w:w="533" w:type="pct"/>
            <w:noWrap w:val="0"/>
            <w:vAlign w:val="center"/>
          </w:tcPr>
          <w:p>
            <w:pPr>
              <w:spacing w:line="360" w:lineRule="auto"/>
              <w:jc w:val="center"/>
              <w:rPr>
                <w:rFonts w:ascii="宋体" w:hAnsi="宋体"/>
                <w:color w:val="auto"/>
                <w:sz w:val="22"/>
                <w:szCs w:val="22"/>
                <w:highlight w:val="none"/>
              </w:rPr>
            </w:pPr>
          </w:p>
        </w:tc>
        <w:tc>
          <w:tcPr>
            <w:tcW w:w="483" w:type="pct"/>
            <w:noWrap w:val="0"/>
            <w:vAlign w:val="center"/>
          </w:tcPr>
          <w:p>
            <w:pPr>
              <w:spacing w:line="360" w:lineRule="auto"/>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23" w:type="pct"/>
            <w:noWrap w:val="0"/>
            <w:vAlign w:val="center"/>
          </w:tcPr>
          <w:p>
            <w:pPr>
              <w:widowControl/>
              <w:spacing w:line="520" w:lineRule="exact"/>
              <w:jc w:val="center"/>
              <w:rPr>
                <w:rFonts w:ascii="宋体" w:hAnsi="宋体"/>
                <w:color w:val="auto"/>
                <w:sz w:val="22"/>
                <w:szCs w:val="22"/>
                <w:highlight w:val="none"/>
              </w:rPr>
            </w:pPr>
          </w:p>
        </w:tc>
        <w:tc>
          <w:tcPr>
            <w:tcW w:w="1292" w:type="pct"/>
            <w:noWrap w:val="0"/>
            <w:vAlign w:val="center"/>
          </w:tcPr>
          <w:p>
            <w:pPr>
              <w:widowControl/>
              <w:spacing w:line="520" w:lineRule="exact"/>
              <w:jc w:val="center"/>
              <w:rPr>
                <w:rFonts w:ascii="宋体" w:hAnsi="宋体"/>
                <w:color w:val="auto"/>
                <w:sz w:val="22"/>
                <w:szCs w:val="22"/>
                <w:highlight w:val="none"/>
              </w:rPr>
            </w:pPr>
          </w:p>
        </w:tc>
        <w:tc>
          <w:tcPr>
            <w:tcW w:w="592" w:type="pct"/>
            <w:noWrap w:val="0"/>
            <w:vAlign w:val="center"/>
          </w:tcPr>
          <w:p>
            <w:pPr>
              <w:widowControl/>
              <w:spacing w:line="520" w:lineRule="exact"/>
              <w:jc w:val="center"/>
              <w:rPr>
                <w:rFonts w:ascii="宋体" w:hAnsi="宋体"/>
                <w:color w:val="auto"/>
                <w:sz w:val="22"/>
                <w:szCs w:val="22"/>
                <w:highlight w:val="none"/>
              </w:rPr>
            </w:pPr>
          </w:p>
        </w:tc>
        <w:tc>
          <w:tcPr>
            <w:tcW w:w="592" w:type="pct"/>
            <w:noWrap w:val="0"/>
            <w:vAlign w:val="center"/>
          </w:tcPr>
          <w:p>
            <w:pPr>
              <w:spacing w:line="360" w:lineRule="auto"/>
              <w:jc w:val="center"/>
              <w:rPr>
                <w:rFonts w:ascii="宋体" w:hAnsi="宋体"/>
                <w:color w:val="auto"/>
                <w:sz w:val="22"/>
                <w:szCs w:val="22"/>
                <w:highlight w:val="none"/>
              </w:rPr>
            </w:pPr>
          </w:p>
        </w:tc>
        <w:tc>
          <w:tcPr>
            <w:tcW w:w="533" w:type="pct"/>
            <w:noWrap w:val="0"/>
            <w:vAlign w:val="top"/>
          </w:tcPr>
          <w:p>
            <w:pPr>
              <w:spacing w:line="360" w:lineRule="auto"/>
              <w:jc w:val="center"/>
              <w:rPr>
                <w:rFonts w:ascii="宋体" w:hAnsi="宋体"/>
                <w:color w:val="auto"/>
                <w:sz w:val="22"/>
                <w:szCs w:val="22"/>
                <w:highlight w:val="none"/>
              </w:rPr>
            </w:pPr>
          </w:p>
        </w:tc>
        <w:tc>
          <w:tcPr>
            <w:tcW w:w="547" w:type="pct"/>
            <w:noWrap w:val="0"/>
            <w:vAlign w:val="center"/>
          </w:tcPr>
          <w:p>
            <w:pPr>
              <w:spacing w:line="360" w:lineRule="auto"/>
              <w:jc w:val="center"/>
              <w:rPr>
                <w:rFonts w:ascii="宋体" w:hAnsi="宋体"/>
                <w:color w:val="auto"/>
                <w:sz w:val="22"/>
                <w:szCs w:val="22"/>
                <w:highlight w:val="none"/>
              </w:rPr>
            </w:pPr>
          </w:p>
        </w:tc>
        <w:tc>
          <w:tcPr>
            <w:tcW w:w="533" w:type="pct"/>
            <w:noWrap w:val="0"/>
            <w:vAlign w:val="center"/>
          </w:tcPr>
          <w:p>
            <w:pPr>
              <w:spacing w:line="360" w:lineRule="auto"/>
              <w:jc w:val="center"/>
              <w:rPr>
                <w:rFonts w:ascii="宋体" w:hAnsi="宋体"/>
                <w:color w:val="auto"/>
                <w:sz w:val="22"/>
                <w:szCs w:val="22"/>
                <w:highlight w:val="none"/>
              </w:rPr>
            </w:pPr>
          </w:p>
        </w:tc>
        <w:tc>
          <w:tcPr>
            <w:tcW w:w="483" w:type="pct"/>
            <w:noWrap w:val="0"/>
            <w:vAlign w:val="center"/>
          </w:tcPr>
          <w:p>
            <w:pPr>
              <w:spacing w:line="360" w:lineRule="auto"/>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982" w:type="pct"/>
            <w:gridSpan w:val="6"/>
            <w:noWrap w:val="0"/>
            <w:vAlign w:val="top"/>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合计：</w:t>
            </w:r>
          </w:p>
        </w:tc>
        <w:tc>
          <w:tcPr>
            <w:tcW w:w="533" w:type="pct"/>
            <w:noWrap w:val="0"/>
            <w:vAlign w:val="center"/>
          </w:tcPr>
          <w:p>
            <w:pPr>
              <w:spacing w:line="360" w:lineRule="auto"/>
              <w:jc w:val="center"/>
              <w:rPr>
                <w:rFonts w:ascii="宋体" w:hAnsi="宋体"/>
                <w:color w:val="auto"/>
                <w:sz w:val="22"/>
                <w:szCs w:val="22"/>
                <w:highlight w:val="none"/>
              </w:rPr>
            </w:pPr>
          </w:p>
        </w:tc>
        <w:tc>
          <w:tcPr>
            <w:tcW w:w="483" w:type="pct"/>
            <w:noWrap w:val="0"/>
            <w:vAlign w:val="center"/>
          </w:tcPr>
          <w:p>
            <w:pPr>
              <w:spacing w:line="360" w:lineRule="auto"/>
              <w:jc w:val="center"/>
              <w:rPr>
                <w:rFonts w:ascii="宋体" w:hAnsi="宋体"/>
                <w:color w:val="auto"/>
                <w:sz w:val="22"/>
                <w:szCs w:val="22"/>
                <w:highlight w:val="none"/>
              </w:rPr>
            </w:pPr>
          </w:p>
        </w:tc>
      </w:tr>
    </w:tbl>
    <w:p>
      <w:pPr>
        <w:spacing w:line="360" w:lineRule="auto"/>
        <w:rPr>
          <w:rFonts w:ascii="Times New Roman" w:hAnsi="Times New Roman"/>
          <w:color w:val="auto"/>
          <w:szCs w:val="21"/>
          <w:highlight w:val="none"/>
          <w:u w:val="single"/>
        </w:rPr>
      </w:pPr>
    </w:p>
    <w:p>
      <w:pPr>
        <w:spacing w:line="360" w:lineRule="auto"/>
        <w:rPr>
          <w:rFonts w:ascii="宋体" w:hAnsi="宋体"/>
          <w:b/>
          <w:bCs/>
          <w:color w:val="auto"/>
          <w:sz w:val="22"/>
          <w:szCs w:val="22"/>
          <w:highlight w:val="none"/>
        </w:rPr>
      </w:pPr>
      <w:r>
        <w:rPr>
          <w:rFonts w:hint="eastAsia" w:ascii="宋体" w:hAnsi="宋体"/>
          <w:b/>
          <w:bCs/>
          <w:color w:val="auto"/>
          <w:sz w:val="22"/>
          <w:szCs w:val="22"/>
          <w:highlight w:val="none"/>
        </w:rPr>
        <w:t>上述表格内各项费用之和必须与投标总报价相一致。</w:t>
      </w:r>
    </w:p>
    <w:p>
      <w:pPr>
        <w:spacing w:line="360" w:lineRule="auto"/>
        <w:rPr>
          <w:rFonts w:ascii="宋体" w:hAnsi="宋体"/>
          <w:b/>
          <w:bCs/>
          <w:color w:val="auto"/>
          <w:sz w:val="22"/>
          <w:szCs w:val="22"/>
          <w:highlight w:val="none"/>
        </w:rPr>
      </w:pPr>
      <w:r>
        <w:rPr>
          <w:rFonts w:hint="eastAsia" w:ascii="宋体" w:hAnsi="宋体"/>
          <w:b/>
          <w:bCs/>
          <w:color w:val="auto"/>
          <w:sz w:val="22"/>
          <w:szCs w:val="22"/>
          <w:highlight w:val="none"/>
        </w:rPr>
        <w:t>注：</w:t>
      </w:r>
    </w:p>
    <w:p>
      <w:pPr>
        <w:spacing w:line="360" w:lineRule="auto"/>
        <w:rPr>
          <w:rFonts w:ascii="宋体" w:hAnsi="宋体"/>
          <w:b/>
          <w:bCs/>
          <w:color w:val="auto"/>
          <w:sz w:val="22"/>
          <w:szCs w:val="22"/>
          <w:highlight w:val="none"/>
        </w:rPr>
      </w:pPr>
      <w:r>
        <w:rPr>
          <w:rFonts w:hint="eastAsia" w:ascii="宋体" w:hAnsi="宋体"/>
          <w:b/>
          <w:bCs/>
          <w:color w:val="auto"/>
          <w:sz w:val="22"/>
          <w:szCs w:val="22"/>
          <w:highlight w:val="none"/>
        </w:rPr>
        <w:t>1.如果单价和总价不符时，以单价为准，修正总价。</w:t>
      </w:r>
    </w:p>
    <w:p>
      <w:pPr>
        <w:spacing w:line="360" w:lineRule="auto"/>
        <w:rPr>
          <w:rFonts w:ascii="宋体" w:hAnsi="宋体"/>
          <w:b/>
          <w:bCs/>
          <w:color w:val="auto"/>
          <w:sz w:val="22"/>
          <w:szCs w:val="22"/>
          <w:highlight w:val="none"/>
        </w:rPr>
      </w:pPr>
      <w:r>
        <w:rPr>
          <w:rFonts w:hint="eastAsia" w:ascii="宋体" w:hAnsi="宋体"/>
          <w:b/>
          <w:bCs/>
          <w:color w:val="auto"/>
          <w:sz w:val="22"/>
          <w:szCs w:val="22"/>
          <w:highlight w:val="none"/>
        </w:rPr>
        <w:t xml:space="preserve">2.总报价应等于“开标一览表”中的投标总价。 </w:t>
      </w:r>
    </w:p>
    <w:p>
      <w:pPr>
        <w:spacing w:line="360" w:lineRule="auto"/>
        <w:rPr>
          <w:rFonts w:ascii="宋体" w:hAnsi="宋体"/>
          <w:b/>
          <w:bCs/>
          <w:color w:val="auto"/>
          <w:sz w:val="22"/>
          <w:szCs w:val="22"/>
          <w:highlight w:val="none"/>
        </w:rPr>
      </w:pPr>
      <w:r>
        <w:rPr>
          <w:rFonts w:hint="eastAsia" w:ascii="宋体" w:hAnsi="宋体"/>
          <w:b/>
          <w:bCs/>
          <w:color w:val="auto"/>
          <w:sz w:val="22"/>
          <w:szCs w:val="22"/>
          <w:highlight w:val="none"/>
        </w:rPr>
        <w:t>3.按用户需求要求进行报价。</w:t>
      </w:r>
    </w:p>
    <w:p>
      <w:pPr>
        <w:pStyle w:val="99"/>
        <w:spacing w:before="936" w:beforeLines="300" w:line="360" w:lineRule="auto"/>
        <w:ind w:firstLine="3360" w:firstLineChars="16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360" w:lineRule="auto"/>
        <w:ind w:firstLine="3381" w:firstLineChars="1610"/>
        <w:rPr>
          <w:rFonts w:ascii="宋体" w:hAnsi="宋体" w:eastAsia="宋体"/>
          <w:color w:val="auto"/>
          <w:sz w:val="21"/>
          <w:szCs w:val="21"/>
          <w:highlight w:val="none"/>
        </w:rPr>
      </w:pPr>
      <w:r>
        <w:rPr>
          <w:rFonts w:hint="eastAsia" w:ascii="宋体" w:hAnsi="宋体" w:eastAsia="宋体"/>
          <w:color w:val="auto"/>
          <w:sz w:val="21"/>
          <w:szCs w:val="21"/>
          <w:highlight w:val="none"/>
        </w:rPr>
        <w:t>投标人法定代表人或被授权人（签名或盖私章）：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pPr>
        <w:pStyle w:val="99"/>
        <w:spacing w:line="360" w:lineRule="auto"/>
        <w:ind w:firstLine="3381" w:firstLineChars="1610"/>
        <w:rPr>
          <w:rFonts w:ascii="宋体" w:hAnsi="宋体" w:eastAsia="宋体"/>
          <w:color w:val="auto"/>
          <w:sz w:val="21"/>
          <w:szCs w:val="21"/>
          <w:highlight w:val="non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widowControl/>
        <w:jc w:val="left"/>
        <w:rPr>
          <w:rFonts w:ascii="Times New Roman" w:hAnsi="Times New Roman"/>
          <w:color w:val="auto"/>
          <w:sz w:val="22"/>
          <w:szCs w:val="22"/>
          <w:highlight w:val="none"/>
        </w:rPr>
      </w:pPr>
      <w:r>
        <w:rPr>
          <w:rFonts w:ascii="宋体" w:hAnsi="宋体" w:eastAsia="宋体"/>
          <w:color w:val="auto"/>
          <w:szCs w:val="21"/>
          <w:highlight w:val="none"/>
        </w:rPr>
        <w:br w:type="page"/>
      </w:r>
    </w:p>
    <w:p>
      <w:pPr>
        <w:rPr>
          <w:color w:val="auto"/>
          <w:highlight w:val="none"/>
        </w:rPr>
      </w:pPr>
      <w:bookmarkStart w:id="195" w:name="_Toc441844115"/>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after="60" w:line="360" w:lineRule="auto"/>
        <w:ind w:left="2349" w:hanging="2349" w:hangingChars="500"/>
        <w:jc w:val="center"/>
        <w:outlineLvl w:val="1"/>
        <w:rPr>
          <w:rFonts w:ascii="Times New Roman" w:hAnsi="Times New Roman"/>
          <w:b/>
          <w:bCs/>
          <w:color w:val="auto"/>
          <w:spacing w:val="-6"/>
          <w:sz w:val="48"/>
          <w:szCs w:val="48"/>
          <w:highlight w:val="none"/>
        </w:rPr>
      </w:pPr>
      <w:bookmarkStart w:id="196" w:name="_Toc61529869"/>
      <w:r>
        <w:rPr>
          <w:rFonts w:ascii="Times New Roman" w:hAnsi="Times New Roman"/>
          <w:b/>
          <w:bCs/>
          <w:color w:val="auto"/>
          <w:spacing w:val="-6"/>
          <w:sz w:val="48"/>
          <w:szCs w:val="48"/>
          <w:highlight w:val="none"/>
        </w:rPr>
        <w:t>二、商务、技术部分文件</w:t>
      </w:r>
      <w:bookmarkEnd w:id="195"/>
      <w:bookmarkEnd w:id="196"/>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jc w:val="center"/>
        <w:rPr>
          <w:rFonts w:ascii="Times New Roman" w:hAnsi="Times New Roman" w:eastAsia="新宋体"/>
          <w:b/>
          <w:bCs/>
          <w:color w:val="auto"/>
          <w:spacing w:val="-6"/>
          <w:sz w:val="32"/>
          <w:szCs w:val="32"/>
          <w:highlight w:val="none"/>
        </w:rPr>
      </w:pPr>
    </w:p>
    <w:p>
      <w:pPr>
        <w:spacing w:after="60" w:line="360" w:lineRule="auto"/>
        <w:ind w:left="1546" w:hanging="1546" w:hangingChars="500"/>
        <w:rPr>
          <w:rFonts w:ascii="宋体" w:hAnsi="宋体"/>
          <w:b/>
          <w:color w:val="auto"/>
          <w:sz w:val="32"/>
          <w:szCs w:val="32"/>
          <w:highlight w:val="none"/>
          <w:u w:val="single"/>
        </w:rPr>
      </w:pPr>
      <w:r>
        <w:rPr>
          <w:rFonts w:ascii="宋体" w:hAnsi="宋体"/>
          <w:b/>
          <w:bCs/>
          <w:color w:val="auto"/>
          <w:spacing w:val="-6"/>
          <w:sz w:val="32"/>
          <w:szCs w:val="32"/>
          <w:highlight w:val="none"/>
        </w:rPr>
        <w:t>项目名称：</w:t>
      </w:r>
      <w:r>
        <w:rPr>
          <w:rFonts w:hint="eastAsia" w:ascii="宋体" w:hAnsi="宋体"/>
          <w:b/>
          <w:bCs/>
          <w:color w:val="auto"/>
          <w:spacing w:val="-6"/>
          <w:sz w:val="32"/>
          <w:szCs w:val="32"/>
          <w:highlight w:val="none"/>
        </w:rPr>
        <w:t>东莞市轨道交通有限公司运营分公司2021年生产设备采购项目</w:t>
      </w:r>
    </w:p>
    <w:p>
      <w:pPr>
        <w:spacing w:after="60" w:line="360" w:lineRule="auto"/>
        <w:rPr>
          <w:rFonts w:ascii="宋体" w:hAnsi="宋体"/>
          <w:b/>
          <w:bCs/>
          <w:color w:val="auto"/>
          <w:sz w:val="32"/>
          <w:szCs w:val="32"/>
          <w:highlight w:val="none"/>
        </w:rPr>
      </w:pPr>
    </w:p>
    <w:p>
      <w:pPr>
        <w:spacing w:after="60" w:line="360" w:lineRule="auto"/>
        <w:rPr>
          <w:rFonts w:ascii="宋体" w:hAnsi="宋体"/>
          <w:b/>
          <w:color w:val="auto"/>
          <w:sz w:val="32"/>
          <w:szCs w:val="32"/>
          <w:highlight w:val="none"/>
          <w:u w:val="single"/>
        </w:rPr>
      </w:pPr>
      <w:r>
        <w:rPr>
          <w:rFonts w:hint="eastAsia" w:ascii="宋体" w:hAnsi="宋体"/>
          <w:b/>
          <w:bCs/>
          <w:color w:val="auto"/>
          <w:sz w:val="32"/>
          <w:szCs w:val="32"/>
          <w:highlight w:val="none"/>
        </w:rPr>
        <w:t>项目</w:t>
      </w:r>
      <w:r>
        <w:rPr>
          <w:rFonts w:ascii="宋体" w:hAnsi="宋体"/>
          <w:b/>
          <w:bCs/>
          <w:color w:val="auto"/>
          <w:sz w:val="32"/>
          <w:szCs w:val="32"/>
          <w:highlight w:val="none"/>
        </w:rPr>
        <w:t>编号：</w:t>
      </w:r>
      <w:r>
        <w:rPr>
          <w:rFonts w:hint="eastAsia" w:ascii="宋体" w:hAnsi="宋体"/>
          <w:b/>
          <w:bCs/>
          <w:color w:val="auto"/>
          <w:sz w:val="32"/>
          <w:szCs w:val="32"/>
          <w:highlight w:val="none"/>
        </w:rPr>
        <w:t xml:space="preserve">GXDG21016             </w:t>
      </w:r>
    </w:p>
    <w:p>
      <w:pPr>
        <w:spacing w:after="60" w:line="360" w:lineRule="auto"/>
        <w:rPr>
          <w:rFonts w:ascii="宋体" w:hAnsi="宋体"/>
          <w:b/>
          <w:color w:val="auto"/>
          <w:sz w:val="32"/>
          <w:szCs w:val="32"/>
          <w:highlight w:val="none"/>
          <w:u w:val="single"/>
        </w:rPr>
      </w:pPr>
    </w:p>
    <w:p>
      <w:pPr>
        <w:tabs>
          <w:tab w:val="left" w:pos="1440"/>
          <w:tab w:val="left" w:pos="1620"/>
        </w:tabs>
        <w:spacing w:after="60" w:line="360" w:lineRule="auto"/>
        <w:rPr>
          <w:rFonts w:ascii="宋体" w:hAnsi="宋体"/>
          <w:color w:val="auto"/>
          <w:highlight w:val="none"/>
          <w:u w:val="single"/>
        </w:rPr>
      </w:pPr>
      <w:r>
        <w:rPr>
          <w:rFonts w:ascii="宋体" w:hAnsi="宋体"/>
          <w:b/>
          <w:color w:val="auto"/>
          <w:sz w:val="32"/>
          <w:szCs w:val="32"/>
          <w:highlight w:val="none"/>
        </w:rPr>
        <w:t>投 标 人（</w:t>
      </w:r>
      <w:r>
        <w:rPr>
          <w:rFonts w:hint="eastAsia" w:ascii="宋体" w:hAnsi="宋体" w:eastAsia="宋体" w:cs="宋体"/>
          <w:b/>
          <w:color w:val="auto"/>
          <w:sz w:val="32"/>
          <w:szCs w:val="32"/>
          <w:highlight w:val="none"/>
        </w:rPr>
        <w:t>加盖公章</w:t>
      </w:r>
      <w:r>
        <w:rPr>
          <w:rFonts w:ascii="宋体" w:hAnsi="宋体"/>
          <w:b/>
          <w:color w:val="auto"/>
          <w:sz w:val="32"/>
          <w:szCs w:val="32"/>
          <w:highlight w:val="none"/>
        </w:rPr>
        <w:t>）:</w:t>
      </w:r>
    </w:p>
    <w:p>
      <w:pPr>
        <w:spacing w:after="60" w:line="360" w:lineRule="auto"/>
        <w:rPr>
          <w:rFonts w:ascii="宋体" w:hAnsi="宋体"/>
          <w:b/>
          <w:color w:val="auto"/>
          <w:sz w:val="32"/>
          <w:szCs w:val="32"/>
          <w:highlight w:val="none"/>
          <w:u w:val="single"/>
        </w:rPr>
      </w:pPr>
    </w:p>
    <w:p>
      <w:pPr>
        <w:spacing w:line="560" w:lineRule="exact"/>
        <w:rPr>
          <w:rFonts w:ascii="宋体" w:hAnsi="宋体"/>
          <w:b/>
          <w:color w:val="auto"/>
          <w:sz w:val="32"/>
          <w:szCs w:val="32"/>
          <w:highlight w:val="none"/>
        </w:rPr>
      </w:pPr>
      <w:r>
        <w:rPr>
          <w:rFonts w:hint="eastAsia" w:ascii="宋体" w:hAnsi="宋体" w:eastAsia="宋体" w:cs="宋体"/>
          <w:b/>
          <w:color w:val="auto"/>
          <w:sz w:val="32"/>
          <w:szCs w:val="32"/>
          <w:highlight w:val="none"/>
        </w:rPr>
        <w:t>投标人法定代表人或被授权人（签名或盖私章）</w:t>
      </w:r>
      <w:r>
        <w:rPr>
          <w:rFonts w:ascii="宋体" w:hAnsi="宋体"/>
          <w:b/>
          <w:color w:val="auto"/>
          <w:sz w:val="32"/>
          <w:szCs w:val="32"/>
          <w:highlight w:val="none"/>
        </w:rPr>
        <w:t>：</w:t>
      </w:r>
    </w:p>
    <w:p>
      <w:pPr>
        <w:spacing w:after="60" w:line="360" w:lineRule="auto"/>
        <w:rPr>
          <w:rFonts w:ascii="宋体" w:hAnsi="宋体"/>
          <w:b/>
          <w:color w:val="auto"/>
          <w:sz w:val="52"/>
          <w:highlight w:val="none"/>
        </w:rPr>
      </w:pPr>
    </w:p>
    <w:p>
      <w:pPr>
        <w:spacing w:after="60" w:line="360" w:lineRule="auto"/>
        <w:jc w:val="center"/>
        <w:rPr>
          <w:rFonts w:ascii="宋体" w:hAnsi="宋体"/>
          <w:b/>
          <w:color w:val="auto"/>
          <w:sz w:val="30"/>
          <w:szCs w:val="32"/>
          <w:highlight w:val="none"/>
        </w:rPr>
      </w:pPr>
      <w:r>
        <w:rPr>
          <w:rFonts w:hint="eastAsia" w:ascii="宋体" w:hAnsi="宋体"/>
          <w:b/>
          <w:color w:val="auto"/>
          <w:sz w:val="30"/>
          <w:szCs w:val="32"/>
          <w:highlight w:val="none"/>
        </w:rPr>
        <w:t>二〇二</w:t>
      </w:r>
      <w:r>
        <w:rPr>
          <w:rFonts w:hint="eastAsia" w:ascii="宋体" w:hAnsi="宋体"/>
          <w:b/>
          <w:color w:val="auto"/>
          <w:sz w:val="30"/>
          <w:szCs w:val="32"/>
          <w:highlight w:val="none"/>
          <w:lang w:eastAsia="zh-CN"/>
        </w:rPr>
        <w:t>一</w:t>
      </w:r>
      <w:r>
        <w:rPr>
          <w:rFonts w:ascii="宋体" w:hAnsi="宋体"/>
          <w:b/>
          <w:color w:val="auto"/>
          <w:sz w:val="30"/>
          <w:szCs w:val="32"/>
          <w:highlight w:val="none"/>
        </w:rPr>
        <w:t>年  月</w:t>
      </w:r>
      <w:r>
        <w:rPr>
          <w:rFonts w:hint="eastAsia" w:ascii="宋体" w:hAnsi="宋体"/>
          <w:b/>
          <w:color w:val="auto"/>
          <w:sz w:val="30"/>
          <w:szCs w:val="32"/>
          <w:highlight w:val="none"/>
        </w:rPr>
        <w:t xml:space="preserve"> </w:t>
      </w:r>
      <w:r>
        <w:rPr>
          <w:rFonts w:ascii="宋体" w:hAnsi="宋体"/>
          <w:b/>
          <w:color w:val="auto"/>
          <w:sz w:val="30"/>
          <w:szCs w:val="32"/>
          <w:highlight w:val="none"/>
        </w:rPr>
        <w:t xml:space="preserve"> </w:t>
      </w:r>
      <w:r>
        <w:rPr>
          <w:rFonts w:hint="eastAsia" w:ascii="宋体" w:hAnsi="宋体"/>
          <w:b/>
          <w:color w:val="auto"/>
          <w:sz w:val="30"/>
          <w:szCs w:val="32"/>
          <w:highlight w:val="none"/>
        </w:rPr>
        <w:t>日</w:t>
      </w:r>
    </w:p>
    <w:p>
      <w:pPr>
        <w:widowControl/>
        <w:jc w:val="left"/>
        <w:rPr>
          <w:rFonts w:ascii="Times New Roman" w:hAnsi="Times New Roman"/>
          <w:b/>
          <w:color w:val="auto"/>
          <w:sz w:val="22"/>
          <w:szCs w:val="22"/>
          <w:highlight w:val="none"/>
        </w:rPr>
      </w:pPr>
      <w:r>
        <w:rPr>
          <w:rFonts w:ascii="Times New Roman" w:hAnsi="Times New Roman"/>
          <w:b/>
          <w:color w:val="auto"/>
          <w:sz w:val="22"/>
          <w:szCs w:val="22"/>
          <w:highlight w:val="none"/>
        </w:rPr>
        <w:br w:type="page"/>
      </w:r>
    </w:p>
    <w:p>
      <w:pPr>
        <w:pStyle w:val="5"/>
        <w:jc w:val="center"/>
        <w:rPr>
          <w:rFonts w:ascii="宋体" w:hAnsi="宋体"/>
          <w:color w:val="auto"/>
          <w:sz w:val="24"/>
          <w:szCs w:val="24"/>
          <w:highlight w:val="none"/>
        </w:rPr>
      </w:pPr>
      <w:bookmarkStart w:id="197" w:name="_Toc395863121"/>
      <w:bookmarkStart w:id="198" w:name="_Toc326689516"/>
      <w:bookmarkStart w:id="199" w:name="_Toc61529870"/>
      <w:bookmarkStart w:id="200" w:name="_Toc441844116"/>
      <w:bookmarkStart w:id="201" w:name="_Toc321994781"/>
      <w:bookmarkStart w:id="202" w:name="_Toc401738102"/>
      <w:bookmarkStart w:id="203" w:name="_Toc427232350"/>
      <w:r>
        <w:rPr>
          <w:rFonts w:ascii="宋体" w:hAnsi="宋体"/>
          <w:color w:val="auto"/>
          <w:sz w:val="24"/>
          <w:szCs w:val="24"/>
          <w:highlight w:val="none"/>
        </w:rPr>
        <w:t>1、投标函</w:t>
      </w:r>
      <w:bookmarkEnd w:id="197"/>
      <w:bookmarkEnd w:id="198"/>
      <w:bookmarkEnd w:id="199"/>
      <w:bookmarkEnd w:id="200"/>
      <w:bookmarkEnd w:id="201"/>
      <w:bookmarkEnd w:id="202"/>
      <w:bookmarkEnd w:id="203"/>
    </w:p>
    <w:p>
      <w:pPr>
        <w:pStyle w:val="149"/>
        <w:adjustRightInd w:val="0"/>
        <w:snapToGrid w:val="0"/>
        <w:spacing w:line="360" w:lineRule="auto"/>
        <w:rPr>
          <w:rFonts w:ascii="宋体" w:eastAsia="宋体"/>
          <w:color w:val="auto"/>
          <w:sz w:val="22"/>
          <w:szCs w:val="22"/>
          <w:highlight w:val="none"/>
        </w:rPr>
      </w:pPr>
      <w:r>
        <w:rPr>
          <w:rFonts w:ascii="宋体" w:eastAsia="宋体"/>
          <w:color w:val="auto"/>
          <w:sz w:val="22"/>
          <w:szCs w:val="22"/>
          <w:highlight w:val="none"/>
        </w:rPr>
        <w:t>致：</w:t>
      </w:r>
      <w:r>
        <w:rPr>
          <w:rFonts w:ascii="宋体" w:eastAsia="宋体"/>
          <w:color w:val="auto"/>
          <w:sz w:val="22"/>
          <w:szCs w:val="22"/>
          <w:highlight w:val="none"/>
          <w:u w:val="single"/>
        </w:rPr>
        <w:t>（</w:t>
      </w:r>
      <w:r>
        <w:rPr>
          <w:rFonts w:hint="eastAsia" w:ascii="宋体" w:eastAsia="宋体"/>
          <w:color w:val="auto"/>
          <w:sz w:val="22"/>
          <w:szCs w:val="22"/>
          <w:highlight w:val="none"/>
          <w:u w:val="single"/>
        </w:rPr>
        <w:t>招标</w:t>
      </w:r>
      <w:r>
        <w:rPr>
          <w:rFonts w:ascii="宋体" w:eastAsia="宋体"/>
          <w:color w:val="auto"/>
          <w:sz w:val="22"/>
          <w:szCs w:val="22"/>
          <w:highlight w:val="none"/>
          <w:u w:val="single"/>
        </w:rPr>
        <w:t>代理机构名称）</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我方确认收到贵方提供的</w:t>
      </w:r>
      <w:r>
        <w:rPr>
          <w:rFonts w:ascii="宋体" w:eastAsia="宋体"/>
          <w:color w:val="auto"/>
          <w:sz w:val="22"/>
          <w:szCs w:val="22"/>
          <w:highlight w:val="none"/>
          <w:u w:val="single"/>
        </w:rPr>
        <w:t>　　　　　</w:t>
      </w:r>
      <w:r>
        <w:rPr>
          <w:rFonts w:ascii="宋体" w:eastAsia="宋体"/>
          <w:color w:val="auto"/>
          <w:sz w:val="22"/>
          <w:szCs w:val="22"/>
          <w:highlight w:val="none"/>
        </w:rPr>
        <w:t>等相关</w:t>
      </w:r>
      <w:r>
        <w:rPr>
          <w:rFonts w:hint="eastAsia" w:ascii="宋体" w:eastAsia="宋体"/>
          <w:color w:val="auto"/>
          <w:sz w:val="22"/>
          <w:szCs w:val="22"/>
          <w:highlight w:val="none"/>
        </w:rPr>
        <w:t>服务</w:t>
      </w:r>
      <w:r>
        <w:rPr>
          <w:rFonts w:ascii="宋体" w:eastAsia="宋体"/>
          <w:color w:val="auto"/>
          <w:sz w:val="22"/>
          <w:szCs w:val="22"/>
          <w:highlight w:val="none"/>
        </w:rPr>
        <w:t>的招标文件（</w:t>
      </w:r>
      <w:r>
        <w:rPr>
          <w:rFonts w:hint="eastAsia" w:ascii="宋体" w:eastAsia="宋体"/>
          <w:color w:val="auto"/>
          <w:sz w:val="22"/>
          <w:szCs w:val="22"/>
          <w:highlight w:val="none"/>
        </w:rPr>
        <w:t>项目</w:t>
      </w:r>
      <w:r>
        <w:rPr>
          <w:rFonts w:ascii="宋体" w:eastAsia="宋体"/>
          <w:color w:val="auto"/>
          <w:sz w:val="22"/>
          <w:szCs w:val="22"/>
          <w:highlight w:val="none"/>
        </w:rPr>
        <w:t>编号:</w:t>
      </w:r>
      <w:r>
        <w:rPr>
          <w:rFonts w:ascii="宋体" w:eastAsia="宋体"/>
          <w:color w:val="auto"/>
          <w:sz w:val="22"/>
          <w:szCs w:val="22"/>
          <w:highlight w:val="none"/>
          <w:u w:val="single"/>
        </w:rPr>
        <w:t xml:space="preserve">       </w:t>
      </w:r>
      <w:r>
        <w:rPr>
          <w:rFonts w:hint="eastAsia" w:ascii="宋体" w:eastAsia="宋体"/>
          <w:color w:val="auto"/>
          <w:sz w:val="22"/>
          <w:szCs w:val="22"/>
          <w:highlight w:val="none"/>
        </w:rPr>
        <w:t>包号：</w:t>
      </w:r>
      <w:r>
        <w:rPr>
          <w:rFonts w:hint="eastAsia" w:ascii="宋体" w:eastAsia="宋体"/>
          <w:color w:val="auto"/>
          <w:sz w:val="22"/>
          <w:szCs w:val="22"/>
          <w:highlight w:val="none"/>
          <w:u w:val="single"/>
        </w:rPr>
        <w:t xml:space="preserve"> </w:t>
      </w:r>
      <w:r>
        <w:rPr>
          <w:rFonts w:ascii="宋体" w:eastAsia="宋体"/>
          <w:color w:val="auto"/>
          <w:sz w:val="22"/>
          <w:szCs w:val="22"/>
          <w:highlight w:val="none"/>
          <w:u w:val="single"/>
        </w:rPr>
        <w:t xml:space="preserve"> </w:t>
      </w:r>
      <w:r>
        <w:rPr>
          <w:rFonts w:ascii="宋体" w:eastAsia="宋体"/>
          <w:color w:val="auto"/>
          <w:sz w:val="22"/>
          <w:szCs w:val="22"/>
          <w:highlight w:val="none"/>
        </w:rPr>
        <w:t>）的全部内容，我方：</w:t>
      </w:r>
      <w:r>
        <w:rPr>
          <w:rFonts w:ascii="宋体" w:eastAsia="宋体"/>
          <w:color w:val="auto"/>
          <w:sz w:val="22"/>
          <w:szCs w:val="22"/>
          <w:highlight w:val="none"/>
          <w:u w:val="single"/>
        </w:rPr>
        <w:t>（投标人名称）</w:t>
      </w:r>
      <w:r>
        <w:rPr>
          <w:rFonts w:ascii="宋体" w:eastAsia="宋体"/>
          <w:color w:val="auto"/>
          <w:sz w:val="22"/>
          <w:szCs w:val="22"/>
          <w:highlight w:val="none"/>
        </w:rPr>
        <w:t>作为投标人正式委托</w:t>
      </w:r>
      <w:r>
        <w:rPr>
          <w:rFonts w:ascii="宋体" w:eastAsia="宋体"/>
          <w:color w:val="auto"/>
          <w:sz w:val="22"/>
          <w:szCs w:val="22"/>
          <w:highlight w:val="none"/>
          <w:u w:val="single"/>
        </w:rPr>
        <w:t>　   （受委托人全名，职务）</w:t>
      </w:r>
      <w:r>
        <w:rPr>
          <w:rFonts w:ascii="宋体" w:eastAsia="宋体"/>
          <w:color w:val="auto"/>
          <w:sz w:val="22"/>
          <w:szCs w:val="22"/>
          <w:highlight w:val="none"/>
        </w:rPr>
        <w:t>代表我方进行有关本投标的一切事宜。</w:t>
      </w:r>
    </w:p>
    <w:p>
      <w:pPr>
        <w:pStyle w:val="99"/>
        <w:adjustRightInd w:val="0"/>
        <w:snapToGrid w:val="0"/>
        <w:spacing w:line="360" w:lineRule="auto"/>
        <w:ind w:firstLine="440" w:firstLineChars="200"/>
        <w:rPr>
          <w:rFonts w:ascii="宋体" w:eastAsia="宋体"/>
          <w:color w:val="auto"/>
          <w:sz w:val="22"/>
          <w:szCs w:val="22"/>
          <w:highlight w:val="none"/>
        </w:rPr>
      </w:pPr>
      <w:r>
        <w:rPr>
          <w:rFonts w:ascii="宋体" w:eastAsia="宋体"/>
          <w:color w:val="auto"/>
          <w:sz w:val="22"/>
          <w:szCs w:val="22"/>
          <w:highlight w:val="none"/>
        </w:rPr>
        <w:t>在此提交的投标文件，正本</w:t>
      </w:r>
      <w:r>
        <w:rPr>
          <w:rFonts w:ascii="宋体" w:eastAsia="宋体"/>
          <w:color w:val="auto"/>
          <w:sz w:val="22"/>
          <w:szCs w:val="22"/>
          <w:highlight w:val="none"/>
          <w:u w:val="single"/>
        </w:rPr>
        <w:t>1</w:t>
      </w:r>
      <w:r>
        <w:rPr>
          <w:rFonts w:ascii="宋体" w:eastAsia="宋体"/>
          <w:color w:val="auto"/>
          <w:sz w:val="22"/>
          <w:szCs w:val="22"/>
          <w:highlight w:val="none"/>
        </w:rPr>
        <w:t>套，副本</w:t>
      </w:r>
      <w:r>
        <w:rPr>
          <w:rFonts w:ascii="宋体" w:eastAsia="宋体"/>
          <w:color w:val="auto"/>
          <w:sz w:val="22"/>
          <w:szCs w:val="22"/>
          <w:highlight w:val="none"/>
          <w:u w:val="single"/>
        </w:rPr>
        <w:t>5</w:t>
      </w:r>
      <w:r>
        <w:rPr>
          <w:rFonts w:ascii="宋体" w:eastAsia="宋体"/>
          <w:color w:val="auto"/>
          <w:sz w:val="22"/>
          <w:szCs w:val="22"/>
          <w:highlight w:val="none"/>
        </w:rPr>
        <w:t>套，唱标信封</w:t>
      </w:r>
      <w:r>
        <w:rPr>
          <w:rFonts w:ascii="宋体" w:eastAsia="宋体"/>
          <w:color w:val="auto"/>
          <w:sz w:val="22"/>
          <w:szCs w:val="22"/>
          <w:highlight w:val="none"/>
          <w:u w:val="single"/>
        </w:rPr>
        <w:t>1</w:t>
      </w:r>
      <w:r>
        <w:rPr>
          <w:rFonts w:ascii="宋体" w:eastAsia="宋体"/>
          <w:color w:val="auto"/>
          <w:sz w:val="22"/>
          <w:szCs w:val="22"/>
          <w:highlight w:val="none"/>
        </w:rPr>
        <w:t>份，包括如下等内容：</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1．价格部分文件；</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2．商务</w:t>
      </w:r>
      <w:r>
        <w:rPr>
          <w:rFonts w:hint="eastAsia" w:ascii="宋体" w:eastAsia="宋体"/>
          <w:color w:val="auto"/>
          <w:sz w:val="22"/>
          <w:szCs w:val="22"/>
          <w:highlight w:val="none"/>
        </w:rPr>
        <w:t>、技术</w:t>
      </w:r>
      <w:r>
        <w:rPr>
          <w:rFonts w:ascii="宋体" w:eastAsia="宋体"/>
          <w:color w:val="auto"/>
          <w:sz w:val="22"/>
          <w:szCs w:val="22"/>
          <w:highlight w:val="none"/>
        </w:rPr>
        <w:t>部分文件；</w:t>
      </w:r>
    </w:p>
    <w:p>
      <w:pPr>
        <w:pStyle w:val="99"/>
        <w:adjustRightInd w:val="0"/>
        <w:snapToGrid w:val="0"/>
        <w:spacing w:line="360" w:lineRule="auto"/>
        <w:ind w:firstLine="440" w:firstLineChars="200"/>
        <w:rPr>
          <w:rFonts w:ascii="宋体" w:eastAsia="宋体"/>
          <w:color w:val="auto"/>
          <w:sz w:val="22"/>
          <w:szCs w:val="22"/>
          <w:highlight w:val="none"/>
        </w:rPr>
      </w:pPr>
      <w:r>
        <w:rPr>
          <w:rFonts w:ascii="宋体" w:eastAsia="宋体"/>
          <w:color w:val="auto"/>
          <w:sz w:val="22"/>
          <w:szCs w:val="22"/>
          <w:highlight w:val="none"/>
        </w:rPr>
        <w:t>3．唱标信封（内含电子版投标文件）；</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 xml:space="preserve"> 我方己完全明白招标文件的所有条款要求，并重申以下几点：</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（—）我方决定参加</w:t>
      </w:r>
      <w:r>
        <w:rPr>
          <w:rFonts w:hint="eastAsia" w:ascii="宋体" w:eastAsia="宋体"/>
          <w:color w:val="auto"/>
          <w:sz w:val="22"/>
          <w:szCs w:val="22"/>
          <w:highlight w:val="none"/>
        </w:rPr>
        <w:t>项目</w:t>
      </w:r>
      <w:r>
        <w:rPr>
          <w:rFonts w:ascii="宋体" w:eastAsia="宋体"/>
          <w:color w:val="auto"/>
          <w:sz w:val="22"/>
          <w:szCs w:val="22"/>
          <w:highlight w:val="none"/>
        </w:rPr>
        <w:t>编号为</w:t>
      </w:r>
      <w:r>
        <w:rPr>
          <w:rFonts w:ascii="宋体" w:eastAsia="宋体"/>
          <w:color w:val="auto"/>
          <w:sz w:val="22"/>
          <w:szCs w:val="22"/>
          <w:highlight w:val="none"/>
          <w:u w:val="single"/>
        </w:rPr>
        <w:t xml:space="preserve">       </w:t>
      </w:r>
      <w:r>
        <w:rPr>
          <w:rFonts w:ascii="宋体" w:eastAsia="宋体"/>
          <w:color w:val="auto"/>
          <w:sz w:val="22"/>
          <w:szCs w:val="22"/>
          <w:highlight w:val="none"/>
        </w:rPr>
        <w:t>的投标；</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（二）</w:t>
      </w:r>
      <w:r>
        <w:rPr>
          <w:rFonts w:hint="eastAsia" w:ascii="宋体" w:eastAsia="宋体"/>
          <w:color w:val="auto"/>
          <w:sz w:val="22"/>
          <w:szCs w:val="22"/>
          <w:highlight w:val="none"/>
        </w:rPr>
        <w:t>全部有关服务的投标总价</w:t>
      </w:r>
      <w:r>
        <w:rPr>
          <w:rFonts w:ascii="宋体" w:eastAsia="宋体"/>
          <w:color w:val="auto"/>
          <w:sz w:val="22"/>
          <w:szCs w:val="22"/>
          <w:highlight w:val="none"/>
        </w:rPr>
        <w:t>（详见</w:t>
      </w:r>
      <w:r>
        <w:rPr>
          <w:rFonts w:hint="eastAsia" w:ascii="宋体" w:eastAsia="宋体"/>
          <w:color w:val="auto"/>
          <w:sz w:val="22"/>
          <w:szCs w:val="22"/>
          <w:highlight w:val="none"/>
        </w:rPr>
        <w:t>投标报价一览表</w:t>
      </w:r>
      <w:r>
        <w:rPr>
          <w:rFonts w:ascii="宋体" w:eastAsia="宋体"/>
          <w:color w:val="auto"/>
          <w:sz w:val="22"/>
          <w:szCs w:val="22"/>
          <w:highlight w:val="none"/>
        </w:rPr>
        <w:t>）；</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（三）本投标文件的有效期自投标截止日后</w:t>
      </w:r>
      <w:r>
        <w:rPr>
          <w:rFonts w:hint="eastAsia" w:ascii="宋体" w:eastAsia="宋体"/>
          <w:color w:val="auto"/>
          <w:sz w:val="22"/>
          <w:szCs w:val="22"/>
          <w:highlight w:val="none"/>
        </w:rPr>
        <w:t>120</w:t>
      </w:r>
      <w:r>
        <w:rPr>
          <w:rFonts w:ascii="宋体" w:eastAsia="宋体"/>
          <w:color w:val="auto"/>
          <w:sz w:val="22"/>
          <w:szCs w:val="22"/>
          <w:highlight w:val="none"/>
        </w:rPr>
        <w:t>天有效，如中标，有效期将延至合同终止日为止；</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（四）我方已详细研究了招标文件的所有内容包括相关资料及修正文（如果有），对本项目招标文件的所有内容已清楚，接受本招标文件的所有条款及要求；</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（五）我方明白并愿意在规定的开标时间和日期之后，投标有效期之内撤回投标，则投标保证金将被贵方没收；</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（六）我方同意按照贵方可能提出的要求而提供与投标有关的任何其它数据或信息；</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（七）我方理解贵方不一定接受最低标价或任何贵方可能收到的投标；</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（八）我方如果中标，将保证履行招标文件以及招标文件修改书（如果有的话）中的全部责任和义务，按质、按量、按期完成《合同书》中的全部任务；</w:t>
      </w:r>
    </w:p>
    <w:p>
      <w:pPr>
        <w:pStyle w:val="99"/>
        <w:adjustRightInd w:val="0"/>
        <w:snapToGrid w:val="0"/>
        <w:spacing w:line="360" w:lineRule="auto"/>
        <w:ind w:firstLine="453"/>
        <w:rPr>
          <w:rFonts w:ascii="宋体" w:eastAsia="宋体"/>
          <w:color w:val="auto"/>
          <w:sz w:val="22"/>
          <w:szCs w:val="22"/>
          <w:highlight w:val="none"/>
        </w:rPr>
      </w:pPr>
      <w:r>
        <w:rPr>
          <w:rFonts w:ascii="宋体" w:eastAsia="宋体"/>
          <w:color w:val="auto"/>
          <w:sz w:val="22"/>
          <w:szCs w:val="22"/>
          <w:highlight w:val="none"/>
        </w:rPr>
        <w:t>（九）所有与本投标有关的函件请发往下列地址：</w:t>
      </w:r>
    </w:p>
    <w:p>
      <w:pPr>
        <w:adjustRightInd w:val="0"/>
        <w:snapToGrid w:val="0"/>
        <w:spacing w:line="360" w:lineRule="auto"/>
        <w:rPr>
          <w:rFonts w:ascii="宋体" w:hAnsi="宋体"/>
          <w:color w:val="auto"/>
          <w:sz w:val="22"/>
          <w:szCs w:val="22"/>
          <w:highlight w:val="none"/>
        </w:rPr>
      </w:pPr>
      <w:r>
        <w:rPr>
          <w:rFonts w:ascii="宋体" w:hAnsi="宋体"/>
          <w:color w:val="auto"/>
          <w:sz w:val="22"/>
          <w:szCs w:val="22"/>
          <w:highlight w:val="none"/>
        </w:rPr>
        <w:t>地  　址：</w:t>
      </w:r>
      <w:r>
        <w:rPr>
          <w:rFonts w:ascii="宋体" w:hAnsi="宋体"/>
          <w:color w:val="auto"/>
          <w:sz w:val="22"/>
          <w:szCs w:val="22"/>
          <w:highlight w:val="none"/>
          <w:u w:val="single"/>
        </w:rPr>
        <w:t>　　　　　　　　　　</w:t>
      </w:r>
      <w:r>
        <w:rPr>
          <w:rFonts w:ascii="宋体" w:hAnsi="宋体"/>
          <w:color w:val="auto"/>
          <w:sz w:val="22"/>
          <w:szCs w:val="22"/>
          <w:highlight w:val="none"/>
        </w:rPr>
        <w:t>　 邮政编码：　　　　　</w:t>
      </w:r>
    </w:p>
    <w:p>
      <w:pPr>
        <w:adjustRightInd w:val="0"/>
        <w:snapToGrid w:val="0"/>
        <w:spacing w:line="360" w:lineRule="auto"/>
        <w:rPr>
          <w:rFonts w:ascii="宋体" w:hAnsi="宋体"/>
          <w:color w:val="auto"/>
          <w:sz w:val="22"/>
          <w:szCs w:val="22"/>
          <w:highlight w:val="none"/>
          <w:u w:val="single"/>
        </w:rPr>
      </w:pPr>
      <w:r>
        <w:rPr>
          <w:rFonts w:ascii="宋体" w:hAnsi="宋体"/>
          <w:color w:val="auto"/>
          <w:sz w:val="22"/>
          <w:szCs w:val="22"/>
          <w:highlight w:val="none"/>
        </w:rPr>
        <w:t>联系人：</w:t>
      </w:r>
    </w:p>
    <w:p>
      <w:pPr>
        <w:adjustRightInd w:val="0"/>
        <w:snapToGrid w:val="0"/>
        <w:spacing w:line="360" w:lineRule="auto"/>
        <w:rPr>
          <w:rFonts w:ascii="宋体" w:hAnsi="宋体"/>
          <w:color w:val="auto"/>
          <w:sz w:val="22"/>
          <w:szCs w:val="22"/>
          <w:highlight w:val="none"/>
          <w:u w:val="single"/>
        </w:rPr>
      </w:pPr>
      <w:r>
        <w:rPr>
          <w:rFonts w:ascii="宋体" w:hAnsi="宋体"/>
          <w:color w:val="auto"/>
          <w:sz w:val="22"/>
          <w:szCs w:val="22"/>
          <w:highlight w:val="none"/>
        </w:rPr>
        <w:t>联系电话：</w:t>
      </w:r>
      <w:r>
        <w:rPr>
          <w:rFonts w:ascii="宋体" w:hAnsi="宋体"/>
          <w:color w:val="auto"/>
          <w:sz w:val="22"/>
          <w:szCs w:val="22"/>
          <w:highlight w:val="none"/>
          <w:u w:val="single"/>
        </w:rPr>
        <w:t>　　　　　　　　　　</w:t>
      </w:r>
      <w:r>
        <w:rPr>
          <w:rFonts w:ascii="宋体" w:hAnsi="宋体"/>
          <w:color w:val="auto"/>
          <w:sz w:val="22"/>
          <w:szCs w:val="22"/>
          <w:highlight w:val="none"/>
        </w:rPr>
        <w:t xml:space="preserve">   传　　真：</w:t>
      </w:r>
      <w:r>
        <w:rPr>
          <w:rFonts w:ascii="宋体" w:hAnsi="宋体"/>
          <w:color w:val="auto"/>
          <w:sz w:val="22"/>
          <w:szCs w:val="22"/>
          <w:highlight w:val="none"/>
          <w:u w:val="single"/>
        </w:rPr>
        <w:t xml:space="preserve">　　　　　　   </w:t>
      </w:r>
    </w:p>
    <w:p>
      <w:pPr>
        <w:pStyle w:val="99"/>
        <w:adjustRightInd w:val="0"/>
        <w:snapToGrid w:val="0"/>
        <w:spacing w:line="360" w:lineRule="auto"/>
        <w:ind w:firstLine="3520" w:firstLineChars="16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投标人名称（</w:t>
      </w:r>
      <w:r>
        <w:rPr>
          <w:rFonts w:hint="eastAsia" w:ascii="Times New Roman" w:hAnsi="Times New Roman" w:eastAsia="宋体"/>
          <w:color w:val="auto"/>
          <w:sz w:val="22"/>
          <w:szCs w:val="22"/>
          <w:highlight w:val="none"/>
        </w:rPr>
        <w:t>加盖</w:t>
      </w:r>
      <w:r>
        <w:rPr>
          <w:rFonts w:ascii="Times New Roman" w:hAnsi="Times New Roman" w:eastAsia="宋体"/>
          <w:color w:val="auto"/>
          <w:sz w:val="22"/>
          <w:szCs w:val="22"/>
          <w:highlight w:val="none"/>
        </w:rPr>
        <w:t>公章）：</w:t>
      </w:r>
      <w:r>
        <w:rPr>
          <w:rFonts w:ascii="Times New Roman" w:hAnsi="Times New Roman" w:eastAsia="宋体"/>
          <w:color w:val="auto"/>
          <w:sz w:val="22"/>
          <w:szCs w:val="22"/>
          <w:highlight w:val="none"/>
          <w:u w:val="single"/>
        </w:rPr>
        <w:t xml:space="preserve">                         </w:t>
      </w:r>
    </w:p>
    <w:p>
      <w:pPr>
        <w:pStyle w:val="99"/>
        <w:adjustRightInd w:val="0"/>
        <w:snapToGrid w:val="0"/>
        <w:spacing w:line="360" w:lineRule="auto"/>
        <w:ind w:firstLine="3520" w:firstLineChars="1600"/>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投标人地址：</w:t>
      </w:r>
      <w:r>
        <w:rPr>
          <w:rFonts w:ascii="Times New Roman" w:hAnsi="Times New Roman" w:eastAsia="宋体"/>
          <w:color w:val="auto"/>
          <w:sz w:val="22"/>
          <w:szCs w:val="22"/>
          <w:highlight w:val="none"/>
          <w:u w:val="single"/>
        </w:rPr>
        <w:t xml:space="preserve">                         </w:t>
      </w:r>
    </w:p>
    <w:p>
      <w:pPr>
        <w:pStyle w:val="99"/>
        <w:adjustRightInd w:val="0"/>
        <w:snapToGrid w:val="0"/>
        <w:spacing w:line="360" w:lineRule="auto"/>
        <w:ind w:firstLine="3520" w:firstLineChars="1600"/>
        <w:rPr>
          <w:rFonts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投标人法定代表人或被授权人（签名或盖私章）</w:t>
      </w:r>
      <w:r>
        <w:rPr>
          <w:rFonts w:ascii="Times New Roman" w:hAnsi="Times New Roman" w:eastAsia="宋体"/>
          <w:color w:val="auto"/>
          <w:sz w:val="22"/>
          <w:szCs w:val="22"/>
          <w:highlight w:val="none"/>
        </w:rPr>
        <w:t>：</w:t>
      </w:r>
    </w:p>
    <w:p>
      <w:pPr>
        <w:pStyle w:val="99"/>
        <w:adjustRightInd w:val="0"/>
        <w:snapToGrid w:val="0"/>
        <w:spacing w:line="360" w:lineRule="auto"/>
        <w:ind w:firstLine="3520" w:firstLineChars="1600"/>
        <w:rPr>
          <w:rFonts w:ascii="宋体" w:eastAsia="宋体"/>
          <w:color w:val="auto"/>
          <w:sz w:val="22"/>
          <w:szCs w:val="22"/>
          <w:highlight w:val="none"/>
        </w:rPr>
      </w:pPr>
      <w:r>
        <w:rPr>
          <w:rFonts w:ascii="Times New Roman" w:hAnsi="Times New Roman" w:eastAsia="宋体"/>
          <w:color w:val="auto"/>
          <w:sz w:val="22"/>
          <w:szCs w:val="22"/>
          <w:highlight w:val="none"/>
        </w:rPr>
        <w:t>日　　　期：</w:t>
      </w:r>
      <w:r>
        <w:rPr>
          <w:rFonts w:ascii="宋体" w:eastAsia="宋体"/>
          <w:color w:val="auto"/>
          <w:sz w:val="22"/>
          <w:szCs w:val="22"/>
          <w:highlight w:val="none"/>
        </w:rPr>
        <w:t>　年　　月　　日</w:t>
      </w:r>
    </w:p>
    <w:p>
      <w:pPr>
        <w:pStyle w:val="99"/>
        <w:adjustRightInd w:val="0"/>
        <w:snapToGrid w:val="0"/>
        <w:spacing w:line="360" w:lineRule="auto"/>
        <w:ind w:firstLine="3520" w:firstLineChars="1600"/>
        <w:rPr>
          <w:rFonts w:ascii="Times New Roman" w:hAnsi="Times New Roman" w:eastAsia="宋体"/>
          <w:color w:val="auto"/>
          <w:sz w:val="22"/>
          <w:szCs w:val="22"/>
          <w:highlight w:val="none"/>
        </w:rPr>
      </w:pPr>
    </w:p>
    <w:p>
      <w:pPr>
        <w:pStyle w:val="149"/>
        <w:adjustRightInd w:val="0"/>
        <w:snapToGrid w:val="0"/>
        <w:spacing w:line="360" w:lineRule="auto"/>
        <w:rPr>
          <w:rFonts w:ascii="Times New Roman" w:hAnsi="Times New Roman" w:eastAsia="宋体"/>
          <w:color w:val="auto"/>
          <w:sz w:val="21"/>
          <w:szCs w:val="21"/>
          <w:highlight w:val="none"/>
        </w:rPr>
      </w:pPr>
    </w:p>
    <w:p>
      <w:pPr>
        <w:pStyle w:val="5"/>
        <w:adjustRightInd w:val="0"/>
        <w:snapToGrid w:val="0"/>
        <w:spacing w:line="360" w:lineRule="auto"/>
        <w:jc w:val="center"/>
        <w:rPr>
          <w:rFonts w:ascii="宋体" w:hAnsi="宋体"/>
          <w:color w:val="auto"/>
          <w:sz w:val="22"/>
          <w:szCs w:val="22"/>
          <w:highlight w:val="none"/>
        </w:rPr>
      </w:pPr>
      <w:bookmarkStart w:id="204" w:name="_Toc441844117"/>
      <w:bookmarkStart w:id="205" w:name="_Toc61529871"/>
      <w:r>
        <w:rPr>
          <w:rFonts w:ascii="宋体" w:hAnsi="宋体"/>
          <w:color w:val="auto"/>
          <w:sz w:val="24"/>
          <w:szCs w:val="24"/>
          <w:highlight w:val="none"/>
        </w:rPr>
        <w:t>2、承诺书</w:t>
      </w:r>
      <w:bookmarkEnd w:id="204"/>
      <w:bookmarkEnd w:id="205"/>
      <w:r>
        <w:rPr>
          <w:rFonts w:ascii="宋体" w:hAnsi="宋体"/>
          <w:color w:val="auto"/>
          <w:sz w:val="22"/>
          <w:szCs w:val="22"/>
          <w:highlight w:val="none"/>
        </w:rPr>
        <w:cr/>
      </w:r>
    </w:p>
    <w:p>
      <w:pPr>
        <w:adjustRightInd w:val="0"/>
        <w:snapToGrid w:val="0"/>
        <w:spacing w:line="360" w:lineRule="auto"/>
        <w:rPr>
          <w:rFonts w:ascii="宋体" w:hAnsi="宋体"/>
          <w:color w:val="auto"/>
          <w:sz w:val="22"/>
          <w:szCs w:val="22"/>
          <w:highlight w:val="none"/>
        </w:rPr>
      </w:pPr>
      <w:r>
        <w:rPr>
          <w:rFonts w:ascii="宋体" w:hAnsi="宋体"/>
          <w:color w:val="auto"/>
          <w:sz w:val="22"/>
          <w:szCs w:val="22"/>
          <w:highlight w:val="none"/>
        </w:rPr>
        <w:t>致：</w:t>
      </w:r>
      <w:r>
        <w:rPr>
          <w:rFonts w:ascii="宋体" w:hAnsi="宋体"/>
          <w:color w:val="auto"/>
          <w:sz w:val="22"/>
          <w:szCs w:val="22"/>
          <w:highlight w:val="none"/>
          <w:u w:val="single"/>
        </w:rPr>
        <w:t>（</w:t>
      </w:r>
      <w:r>
        <w:rPr>
          <w:rFonts w:hint="eastAsia" w:ascii="宋体" w:hAnsi="宋体"/>
          <w:color w:val="auto"/>
          <w:sz w:val="22"/>
          <w:szCs w:val="22"/>
          <w:highlight w:val="none"/>
          <w:u w:val="single"/>
        </w:rPr>
        <w:t>招标</w:t>
      </w:r>
      <w:r>
        <w:rPr>
          <w:rFonts w:ascii="宋体" w:hAnsi="宋体"/>
          <w:color w:val="auto"/>
          <w:sz w:val="22"/>
          <w:szCs w:val="22"/>
          <w:highlight w:val="none"/>
          <w:u w:val="single"/>
        </w:rPr>
        <w:t>代理机构名称）</w:t>
      </w:r>
    </w:p>
    <w:p>
      <w:pPr>
        <w:adjustRightInd w:val="0"/>
        <w:snapToGrid w:val="0"/>
        <w:spacing w:line="360" w:lineRule="auto"/>
        <w:ind w:firstLine="420"/>
        <w:rPr>
          <w:rFonts w:ascii="宋体" w:hAnsi="宋体"/>
          <w:color w:val="auto"/>
          <w:sz w:val="22"/>
          <w:szCs w:val="22"/>
          <w:highlight w:val="none"/>
        </w:rPr>
      </w:pPr>
      <w:r>
        <w:rPr>
          <w:rFonts w:ascii="宋体" w:hAnsi="宋体"/>
          <w:color w:val="auto"/>
          <w:sz w:val="22"/>
          <w:szCs w:val="22"/>
          <w:highlight w:val="none"/>
        </w:rPr>
        <w:t>我方已完整阅读了</w:t>
      </w:r>
      <w:r>
        <w:rPr>
          <w:rFonts w:ascii="宋体" w:hAnsi="宋体"/>
          <w:color w:val="auto"/>
          <w:sz w:val="22"/>
          <w:szCs w:val="22"/>
          <w:highlight w:val="none"/>
          <w:u w:val="single"/>
        </w:rPr>
        <w:t xml:space="preserve">                 </w:t>
      </w:r>
      <w:r>
        <w:rPr>
          <w:rFonts w:ascii="宋体" w:hAnsi="宋体"/>
          <w:color w:val="auto"/>
          <w:sz w:val="22"/>
          <w:szCs w:val="22"/>
          <w:highlight w:val="none"/>
        </w:rPr>
        <w:t>项目（</w:t>
      </w:r>
      <w:r>
        <w:rPr>
          <w:rFonts w:hint="eastAsia" w:ascii="宋体" w:hAnsi="宋体"/>
          <w:color w:val="auto"/>
          <w:sz w:val="22"/>
          <w:szCs w:val="22"/>
          <w:highlight w:val="none"/>
        </w:rPr>
        <w:t>项目</w:t>
      </w:r>
      <w:r>
        <w:rPr>
          <w:rFonts w:ascii="宋体" w:hAnsi="宋体"/>
          <w:color w:val="auto"/>
          <w:sz w:val="22"/>
          <w:szCs w:val="22"/>
          <w:highlight w:val="none"/>
        </w:rPr>
        <w:t>编号：</w:t>
      </w:r>
      <w:r>
        <w:rPr>
          <w:rFonts w:ascii="宋体" w:hAnsi="宋体"/>
          <w:color w:val="auto"/>
          <w:sz w:val="22"/>
          <w:szCs w:val="22"/>
          <w:highlight w:val="none"/>
          <w:u w:val="single"/>
        </w:rPr>
        <w:t xml:space="preserve">         </w:t>
      </w:r>
      <w:r>
        <w:rPr>
          <w:rFonts w:hint="eastAsia" w:ascii="宋体"/>
          <w:color w:val="auto"/>
          <w:sz w:val="22"/>
          <w:szCs w:val="22"/>
          <w:highlight w:val="none"/>
        </w:rPr>
        <w:t>包号：</w:t>
      </w:r>
      <w:r>
        <w:rPr>
          <w:rFonts w:hint="eastAsia" w:ascii="宋体"/>
          <w:color w:val="auto"/>
          <w:sz w:val="22"/>
          <w:szCs w:val="22"/>
          <w:highlight w:val="none"/>
          <w:u w:val="single"/>
        </w:rPr>
        <w:t xml:space="preserve"> </w:t>
      </w:r>
      <w:r>
        <w:rPr>
          <w:rFonts w:ascii="宋体"/>
          <w:color w:val="auto"/>
          <w:sz w:val="22"/>
          <w:szCs w:val="22"/>
          <w:highlight w:val="none"/>
          <w:u w:val="single"/>
        </w:rPr>
        <w:t xml:space="preserve">  </w:t>
      </w:r>
      <w:r>
        <w:rPr>
          <w:rFonts w:ascii="宋体" w:hAnsi="宋体"/>
          <w:color w:val="auto"/>
          <w:sz w:val="22"/>
          <w:szCs w:val="22"/>
          <w:highlight w:val="none"/>
        </w:rPr>
        <w:t>）招标文件的所有内容（包括澄清，以及所有已提供的参考资料和有关附件），并完全理解上述文件所表达的意思，该项目递交投标文件时间截止后，我方承诺不再对上述文件内容进行询问或质疑。</w:t>
      </w:r>
      <w:r>
        <w:rPr>
          <w:rFonts w:ascii="宋体" w:hAnsi="宋体"/>
          <w:color w:val="auto"/>
          <w:sz w:val="22"/>
          <w:szCs w:val="22"/>
          <w:highlight w:val="none"/>
        </w:rPr>
        <w:cr/>
      </w:r>
    </w:p>
    <w:p>
      <w:pPr>
        <w:adjustRightInd w:val="0"/>
        <w:snapToGrid w:val="0"/>
        <w:spacing w:line="360" w:lineRule="auto"/>
        <w:ind w:firstLine="420"/>
        <w:rPr>
          <w:rFonts w:ascii="宋体" w:hAnsi="宋体"/>
          <w:color w:val="auto"/>
          <w:sz w:val="22"/>
          <w:szCs w:val="22"/>
          <w:highlight w:val="none"/>
        </w:rPr>
      </w:pPr>
    </w:p>
    <w:p>
      <w:pPr>
        <w:adjustRightInd w:val="0"/>
        <w:snapToGrid w:val="0"/>
        <w:spacing w:line="360" w:lineRule="auto"/>
        <w:ind w:firstLine="420"/>
        <w:rPr>
          <w:rFonts w:ascii="宋体" w:hAnsi="宋体"/>
          <w:color w:val="auto"/>
          <w:sz w:val="22"/>
          <w:szCs w:val="22"/>
          <w:highlight w:val="none"/>
        </w:rPr>
      </w:pPr>
    </w:p>
    <w:p>
      <w:pPr>
        <w:adjustRightInd w:val="0"/>
        <w:snapToGrid w:val="0"/>
        <w:spacing w:line="360" w:lineRule="auto"/>
        <w:ind w:firstLine="420"/>
        <w:rPr>
          <w:rFonts w:ascii="宋体" w:hAnsi="宋体"/>
          <w:color w:val="auto"/>
          <w:sz w:val="22"/>
          <w:szCs w:val="22"/>
          <w:highlight w:val="none"/>
        </w:rPr>
      </w:pPr>
    </w:p>
    <w:p>
      <w:pPr>
        <w:pStyle w:val="99"/>
        <w:adjustRightInd w:val="0"/>
        <w:snapToGrid w:val="0"/>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投标人名称（</w:t>
      </w:r>
      <w:r>
        <w:rPr>
          <w:rFonts w:hint="eastAsia" w:ascii="宋体" w:eastAsia="宋体"/>
          <w:color w:val="auto"/>
          <w:sz w:val="22"/>
          <w:szCs w:val="22"/>
          <w:highlight w:val="none"/>
        </w:rPr>
        <w:t>加盖</w:t>
      </w:r>
      <w:r>
        <w:rPr>
          <w:rFonts w:ascii="宋体" w:eastAsia="宋体"/>
          <w:color w:val="auto"/>
          <w:sz w:val="22"/>
          <w:szCs w:val="22"/>
          <w:highlight w:val="none"/>
        </w:rPr>
        <w:t>公章）：</w:t>
      </w:r>
    </w:p>
    <w:p>
      <w:pPr>
        <w:pStyle w:val="99"/>
        <w:adjustRightInd w:val="0"/>
        <w:snapToGrid w:val="0"/>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投标人法定代表人或</w:t>
      </w:r>
      <w:r>
        <w:rPr>
          <w:rFonts w:hint="eastAsia" w:ascii="宋体" w:eastAsia="宋体"/>
          <w:color w:val="auto"/>
          <w:sz w:val="22"/>
          <w:szCs w:val="22"/>
          <w:highlight w:val="none"/>
        </w:rPr>
        <w:t>被授权人</w:t>
      </w:r>
      <w:r>
        <w:rPr>
          <w:rFonts w:ascii="宋体" w:eastAsia="宋体"/>
          <w:color w:val="auto"/>
          <w:sz w:val="22"/>
          <w:szCs w:val="22"/>
          <w:highlight w:val="none"/>
        </w:rPr>
        <w:t>（</w:t>
      </w:r>
      <w:r>
        <w:rPr>
          <w:rFonts w:hint="eastAsia" w:ascii="宋体" w:eastAsia="宋体"/>
          <w:color w:val="auto"/>
          <w:sz w:val="22"/>
          <w:szCs w:val="22"/>
          <w:highlight w:val="none"/>
        </w:rPr>
        <w:t>签名或盖章</w:t>
      </w:r>
      <w:r>
        <w:rPr>
          <w:rFonts w:ascii="宋体" w:eastAsia="宋体"/>
          <w:color w:val="auto"/>
          <w:sz w:val="22"/>
          <w:szCs w:val="22"/>
          <w:highlight w:val="none"/>
        </w:rPr>
        <w:t>）：</w:t>
      </w:r>
    </w:p>
    <w:p>
      <w:pPr>
        <w:pStyle w:val="99"/>
        <w:adjustRightInd w:val="0"/>
        <w:snapToGrid w:val="0"/>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日期：　　年　　月　　日</w:t>
      </w:r>
    </w:p>
    <w:p>
      <w:pPr>
        <w:adjustRightInd w:val="0"/>
        <w:snapToGrid w:val="0"/>
        <w:spacing w:line="360" w:lineRule="auto"/>
        <w:rPr>
          <w:rFonts w:ascii="宋体" w:hAnsi="宋体"/>
          <w:color w:val="auto"/>
          <w:sz w:val="22"/>
          <w:szCs w:val="22"/>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widowControl/>
        <w:jc w:val="left"/>
        <w:rPr>
          <w:rFonts w:ascii="Times New Roman" w:hAnsi="Times New Roman"/>
          <w:color w:val="auto"/>
          <w:highlight w:val="none"/>
        </w:rPr>
      </w:pPr>
      <w:r>
        <w:rPr>
          <w:rFonts w:ascii="Times New Roman" w:hAnsi="Times New Roman"/>
          <w:color w:val="auto"/>
          <w:highlight w:val="none"/>
        </w:rPr>
        <w:br w:type="page"/>
      </w:r>
    </w:p>
    <w:p>
      <w:pPr>
        <w:pStyle w:val="5"/>
        <w:jc w:val="center"/>
        <w:rPr>
          <w:rFonts w:ascii="宋体" w:hAnsi="宋体"/>
          <w:color w:val="auto"/>
          <w:sz w:val="24"/>
          <w:szCs w:val="24"/>
          <w:highlight w:val="none"/>
        </w:rPr>
      </w:pPr>
      <w:bookmarkStart w:id="206" w:name="_Toc61529872"/>
      <w:bookmarkStart w:id="207" w:name="_Toc441844118"/>
      <w:r>
        <w:rPr>
          <w:rFonts w:ascii="宋体" w:hAnsi="宋体"/>
          <w:color w:val="auto"/>
          <w:sz w:val="24"/>
          <w:szCs w:val="24"/>
          <w:highlight w:val="none"/>
        </w:rPr>
        <w:t>3、</w:t>
      </w:r>
      <w:bookmarkStart w:id="208" w:name="_Toc427232351"/>
      <w:bookmarkStart w:id="209" w:name="_Toc395863122"/>
      <w:bookmarkStart w:id="210" w:name="_Toc326689517"/>
      <w:bookmarkStart w:id="211" w:name="_Toc321994782"/>
      <w:bookmarkStart w:id="212" w:name="_Toc401738103"/>
      <w:r>
        <w:rPr>
          <w:rFonts w:ascii="宋体" w:hAnsi="宋体"/>
          <w:color w:val="auto"/>
          <w:sz w:val="24"/>
          <w:szCs w:val="24"/>
          <w:highlight w:val="none"/>
        </w:rPr>
        <w:t>法定代表人身份证明书</w:t>
      </w:r>
      <w:bookmarkEnd w:id="206"/>
      <w:bookmarkEnd w:id="207"/>
      <w:bookmarkEnd w:id="208"/>
      <w:bookmarkEnd w:id="209"/>
      <w:bookmarkEnd w:id="210"/>
      <w:bookmarkEnd w:id="211"/>
      <w:bookmarkEnd w:id="212"/>
    </w:p>
    <w:p>
      <w:pPr>
        <w:spacing w:line="560" w:lineRule="exact"/>
        <w:jc w:val="center"/>
        <w:rPr>
          <w:rFonts w:ascii="宋体" w:hAnsi="宋体"/>
          <w:b/>
          <w:color w:val="auto"/>
          <w:sz w:val="22"/>
          <w:szCs w:val="22"/>
          <w:highlight w:val="none"/>
        </w:rPr>
      </w:pPr>
    </w:p>
    <w:p>
      <w:pPr>
        <w:spacing w:line="560" w:lineRule="exact"/>
        <w:rPr>
          <w:rFonts w:ascii="宋体" w:hAnsi="宋体"/>
          <w:color w:val="auto"/>
          <w:sz w:val="22"/>
          <w:szCs w:val="22"/>
          <w:highlight w:val="none"/>
        </w:rPr>
      </w:pPr>
      <w:r>
        <w:rPr>
          <w:rFonts w:ascii="宋体" w:hAnsi="宋体"/>
          <w:color w:val="auto"/>
          <w:sz w:val="22"/>
          <w:szCs w:val="22"/>
          <w:highlight w:val="none"/>
        </w:rPr>
        <w:t>致：</w:t>
      </w:r>
      <w:r>
        <w:rPr>
          <w:rFonts w:ascii="宋体" w:hAnsi="宋体"/>
          <w:color w:val="auto"/>
          <w:sz w:val="22"/>
          <w:szCs w:val="22"/>
          <w:highlight w:val="none"/>
          <w:u w:val="single"/>
        </w:rPr>
        <w:t>（</w:t>
      </w:r>
      <w:r>
        <w:rPr>
          <w:rFonts w:hint="eastAsia" w:ascii="宋体" w:hAnsi="宋体"/>
          <w:color w:val="auto"/>
          <w:sz w:val="22"/>
          <w:szCs w:val="22"/>
          <w:highlight w:val="none"/>
          <w:u w:val="single"/>
        </w:rPr>
        <w:t>招标</w:t>
      </w:r>
      <w:r>
        <w:rPr>
          <w:rFonts w:ascii="宋体" w:hAnsi="宋体"/>
          <w:color w:val="auto"/>
          <w:sz w:val="22"/>
          <w:szCs w:val="22"/>
          <w:highlight w:val="none"/>
          <w:u w:val="single"/>
        </w:rPr>
        <w:t>代理机构名称）</w:t>
      </w:r>
    </w:p>
    <w:p>
      <w:pPr>
        <w:pStyle w:val="99"/>
        <w:spacing w:line="560" w:lineRule="exact"/>
        <w:ind w:firstLine="563" w:firstLineChars="256"/>
        <w:rPr>
          <w:rFonts w:ascii="宋体" w:eastAsia="宋体"/>
          <w:color w:val="auto"/>
          <w:sz w:val="22"/>
          <w:szCs w:val="22"/>
          <w:highlight w:val="none"/>
        </w:rPr>
      </w:pPr>
      <w:r>
        <w:rPr>
          <w:rFonts w:ascii="宋体" w:eastAsia="宋体"/>
          <w:color w:val="auto"/>
          <w:sz w:val="22"/>
          <w:szCs w:val="22"/>
          <w:highlight w:val="none"/>
        </w:rPr>
        <w:t>本证明书声明：注册于（国家名称）的</w:t>
      </w:r>
      <w:r>
        <w:rPr>
          <w:rFonts w:ascii="宋体" w:eastAsia="宋体"/>
          <w:color w:val="auto"/>
          <w:sz w:val="22"/>
          <w:szCs w:val="22"/>
          <w:highlight w:val="none"/>
          <w:u w:val="single"/>
        </w:rPr>
        <w:t xml:space="preserve">　      （投标人名称）   　   </w:t>
      </w:r>
      <w:r>
        <w:rPr>
          <w:rFonts w:ascii="宋体" w:eastAsia="宋体"/>
          <w:color w:val="auto"/>
          <w:sz w:val="22"/>
          <w:szCs w:val="22"/>
          <w:highlight w:val="none"/>
        </w:rPr>
        <w:t>在下面签字的</w:t>
      </w:r>
      <w:r>
        <w:rPr>
          <w:rFonts w:ascii="宋体" w:eastAsia="宋体"/>
          <w:color w:val="auto"/>
          <w:sz w:val="22"/>
          <w:szCs w:val="22"/>
          <w:highlight w:val="none"/>
          <w:u w:val="single"/>
        </w:rPr>
        <w:t xml:space="preserve">　（法定代表人姓名、职务）  </w:t>
      </w:r>
      <w:r>
        <w:rPr>
          <w:rFonts w:ascii="宋体" w:eastAsia="宋体"/>
          <w:color w:val="auto"/>
          <w:sz w:val="22"/>
          <w:szCs w:val="22"/>
          <w:highlight w:val="none"/>
        </w:rPr>
        <w:t>为本公司的合法代表人（</w:t>
      </w:r>
      <w:r>
        <w:rPr>
          <w:rFonts w:ascii="宋体" w:eastAsia="宋体"/>
          <w:b/>
          <w:color w:val="auto"/>
          <w:sz w:val="22"/>
          <w:szCs w:val="22"/>
          <w:highlight w:val="none"/>
        </w:rPr>
        <w:t>相关身份证复印件须附后</w:t>
      </w:r>
      <w:r>
        <w:rPr>
          <w:rFonts w:ascii="宋体" w:eastAsia="宋体"/>
          <w:color w:val="auto"/>
          <w:sz w:val="22"/>
          <w:szCs w:val="22"/>
          <w:highlight w:val="none"/>
        </w:rPr>
        <w:t>）。</w:t>
      </w:r>
    </w:p>
    <w:p>
      <w:pPr>
        <w:spacing w:line="560" w:lineRule="exact"/>
        <w:ind w:firstLine="440" w:firstLineChars="200"/>
        <w:rPr>
          <w:rFonts w:ascii="宋体" w:hAnsi="宋体"/>
          <w:color w:val="auto"/>
          <w:sz w:val="22"/>
          <w:szCs w:val="22"/>
          <w:highlight w:val="none"/>
        </w:rPr>
      </w:pPr>
      <w:r>
        <w:rPr>
          <w:rFonts w:ascii="宋体" w:hAnsi="宋体"/>
          <w:color w:val="auto"/>
          <w:sz w:val="22"/>
          <w:szCs w:val="22"/>
          <w:highlight w:val="none"/>
        </w:rPr>
        <w:t>特此证明</w:t>
      </w:r>
    </w:p>
    <w:p>
      <w:pPr>
        <w:spacing w:line="560" w:lineRule="exact"/>
        <w:ind w:firstLine="440" w:firstLineChars="200"/>
        <w:rPr>
          <w:rFonts w:ascii="宋体" w:hAnsi="宋体"/>
          <w:color w:val="auto"/>
          <w:sz w:val="22"/>
          <w:szCs w:val="22"/>
          <w:highlight w:val="none"/>
        </w:rPr>
      </w:pPr>
    </w:p>
    <w:p>
      <w:pPr>
        <w:spacing w:line="560" w:lineRule="exact"/>
        <w:ind w:firstLine="440" w:firstLineChars="200"/>
        <w:rPr>
          <w:rFonts w:ascii="宋体" w:hAnsi="宋体"/>
          <w:color w:val="auto"/>
          <w:sz w:val="22"/>
          <w:szCs w:val="22"/>
          <w:highlight w:val="none"/>
        </w:rPr>
      </w:pPr>
    </w:p>
    <w:p>
      <w:pPr>
        <w:pStyle w:val="99"/>
        <w:ind w:firstLine="3520" w:firstLineChars="1600"/>
        <w:rPr>
          <w:rFonts w:ascii="宋体" w:eastAsia="宋体"/>
          <w:color w:val="auto"/>
          <w:sz w:val="22"/>
          <w:szCs w:val="22"/>
          <w:highlight w:val="none"/>
        </w:rPr>
      </w:pPr>
      <w:r>
        <w:rPr>
          <w:rFonts w:ascii="宋体" w:eastAsia="宋体"/>
          <w:color w:val="auto"/>
          <w:sz w:val="22"/>
          <w:szCs w:val="22"/>
          <w:highlight w:val="none"/>
        </w:rPr>
        <w:t>投标人名称（</w:t>
      </w:r>
      <w:r>
        <w:rPr>
          <w:rFonts w:hint="eastAsia" w:ascii="宋体" w:eastAsia="宋体"/>
          <w:color w:val="auto"/>
          <w:sz w:val="22"/>
          <w:szCs w:val="22"/>
          <w:highlight w:val="none"/>
        </w:rPr>
        <w:t>加</w:t>
      </w:r>
      <w:r>
        <w:rPr>
          <w:rFonts w:ascii="宋体" w:eastAsia="宋体"/>
          <w:color w:val="auto"/>
          <w:sz w:val="22"/>
          <w:szCs w:val="22"/>
          <w:highlight w:val="none"/>
        </w:rPr>
        <w:t>公章）：</w:t>
      </w:r>
    </w:p>
    <w:p>
      <w:pPr>
        <w:pStyle w:val="99"/>
        <w:ind w:firstLine="3520" w:firstLineChars="1600"/>
        <w:rPr>
          <w:rFonts w:ascii="宋体" w:eastAsia="宋体"/>
          <w:color w:val="auto"/>
          <w:sz w:val="22"/>
          <w:szCs w:val="22"/>
          <w:highlight w:val="none"/>
        </w:rPr>
      </w:pPr>
      <w:r>
        <w:rPr>
          <w:rFonts w:ascii="宋体" w:eastAsia="宋体"/>
          <w:color w:val="auto"/>
          <w:sz w:val="22"/>
          <w:szCs w:val="22"/>
          <w:highlight w:val="none"/>
        </w:rPr>
        <w:t>投标人地址：</w:t>
      </w:r>
    </w:p>
    <w:p>
      <w:pPr>
        <w:pStyle w:val="99"/>
        <w:ind w:firstLine="3520" w:firstLineChars="1600"/>
        <w:rPr>
          <w:rFonts w:ascii="宋体" w:eastAsia="宋体"/>
          <w:color w:val="auto"/>
          <w:sz w:val="22"/>
          <w:szCs w:val="22"/>
          <w:highlight w:val="none"/>
        </w:rPr>
      </w:pPr>
      <w:r>
        <w:rPr>
          <w:rFonts w:ascii="宋体" w:eastAsia="宋体"/>
          <w:color w:val="auto"/>
          <w:sz w:val="22"/>
          <w:szCs w:val="22"/>
          <w:highlight w:val="none"/>
        </w:rPr>
        <w:t>法定代表人（</w:t>
      </w:r>
      <w:r>
        <w:rPr>
          <w:rFonts w:hint="eastAsia" w:ascii="宋体" w:eastAsia="宋体"/>
          <w:color w:val="auto"/>
          <w:sz w:val="22"/>
          <w:szCs w:val="22"/>
          <w:highlight w:val="none"/>
        </w:rPr>
        <w:t>签名或盖章</w:t>
      </w:r>
      <w:r>
        <w:rPr>
          <w:rFonts w:ascii="宋体" w:eastAsia="宋体"/>
          <w:color w:val="auto"/>
          <w:sz w:val="22"/>
          <w:szCs w:val="22"/>
          <w:highlight w:val="none"/>
        </w:rPr>
        <w:t>）：</w:t>
      </w:r>
    </w:p>
    <w:p>
      <w:pPr>
        <w:pStyle w:val="99"/>
        <w:ind w:firstLine="3520" w:firstLineChars="1600"/>
        <w:rPr>
          <w:rFonts w:ascii="宋体" w:eastAsia="宋体"/>
          <w:color w:val="auto"/>
          <w:sz w:val="22"/>
          <w:szCs w:val="22"/>
          <w:highlight w:val="none"/>
        </w:rPr>
      </w:pPr>
      <w:r>
        <w:rPr>
          <w:rFonts w:ascii="宋体" w:eastAsia="宋体"/>
          <w:color w:val="auto"/>
          <w:sz w:val="22"/>
          <w:szCs w:val="22"/>
          <w:highlight w:val="none"/>
        </w:rPr>
        <w:t>职　　　务：</w:t>
      </w:r>
    </w:p>
    <w:p>
      <w:pPr>
        <w:spacing w:line="560" w:lineRule="exact"/>
        <w:ind w:left="4320" w:leftChars="2057"/>
        <w:rPr>
          <w:rFonts w:ascii="Times New Roman" w:hAnsi="Times New Roman"/>
          <w:color w:val="auto"/>
          <w:szCs w:val="21"/>
          <w:highlight w:val="none"/>
        </w:rPr>
      </w:pPr>
      <w:bookmarkStart w:id="213" w:name="_Toc210188797"/>
      <w:bookmarkStart w:id="214" w:name="_Toc230422786"/>
      <w:bookmarkStart w:id="215" w:name="_Toc88985368"/>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560" w:lineRule="exact"/>
        <w:rPr>
          <w:rFonts w:ascii="Times New Roman" w:hAnsi="Times New Roman"/>
          <w:color w:val="auto"/>
          <w:highlight w:val="none"/>
        </w:rPr>
      </w:pPr>
    </w:p>
    <w:p>
      <w:pPr>
        <w:spacing w:line="560" w:lineRule="exact"/>
        <w:rPr>
          <w:rFonts w:ascii="Times New Roman" w:hAnsi="Times New Roman"/>
          <w:color w:val="auto"/>
          <w:highlight w:val="none"/>
        </w:rPr>
      </w:pPr>
    </w:p>
    <w:p>
      <w:pPr>
        <w:pStyle w:val="5"/>
        <w:spacing w:line="360" w:lineRule="auto"/>
        <w:jc w:val="both"/>
        <w:rPr>
          <w:rFonts w:ascii="宋体" w:hAnsi="宋体"/>
          <w:color w:val="auto"/>
          <w:sz w:val="22"/>
          <w:szCs w:val="22"/>
          <w:highlight w:val="none"/>
        </w:rPr>
      </w:pPr>
      <w:bookmarkStart w:id="216" w:name="_Toc427232352"/>
      <w:bookmarkStart w:id="217" w:name="_Toc321994783"/>
      <w:bookmarkStart w:id="218" w:name="_Toc441844119"/>
      <w:bookmarkStart w:id="219" w:name="_Toc326689518"/>
      <w:bookmarkStart w:id="220" w:name="_Toc401738104"/>
      <w:bookmarkStart w:id="221" w:name="_Toc395863123"/>
      <w:bookmarkStart w:id="222" w:name="_Toc61529873"/>
    </w:p>
    <w:p>
      <w:pPr>
        <w:pStyle w:val="5"/>
        <w:spacing w:line="360" w:lineRule="auto"/>
        <w:jc w:val="center"/>
        <w:rPr>
          <w:rFonts w:ascii="宋体" w:hAnsi="宋体"/>
          <w:color w:val="auto"/>
          <w:sz w:val="24"/>
          <w:szCs w:val="24"/>
          <w:highlight w:val="none"/>
        </w:rPr>
      </w:pPr>
      <w:r>
        <w:rPr>
          <w:rFonts w:ascii="宋体" w:hAnsi="宋体"/>
          <w:color w:val="auto"/>
          <w:sz w:val="24"/>
          <w:szCs w:val="24"/>
          <w:highlight w:val="none"/>
        </w:rPr>
        <w:t>4、法</w:t>
      </w:r>
      <w:r>
        <w:rPr>
          <w:rFonts w:hint="eastAsia" w:ascii="宋体" w:hAnsi="宋体"/>
          <w:color w:val="auto"/>
          <w:sz w:val="24"/>
          <w:szCs w:val="24"/>
          <w:highlight w:val="none"/>
        </w:rPr>
        <w:t>定代表</w:t>
      </w:r>
      <w:r>
        <w:rPr>
          <w:rFonts w:ascii="宋体" w:hAnsi="宋体"/>
          <w:color w:val="auto"/>
          <w:sz w:val="24"/>
          <w:szCs w:val="24"/>
          <w:highlight w:val="none"/>
        </w:rPr>
        <w:t>人授权委托书</w:t>
      </w:r>
      <w:bookmarkEnd w:id="213"/>
      <w:bookmarkEnd w:id="214"/>
      <w:bookmarkEnd w:id="215"/>
      <w:bookmarkEnd w:id="216"/>
      <w:bookmarkEnd w:id="217"/>
      <w:bookmarkEnd w:id="218"/>
      <w:bookmarkEnd w:id="219"/>
      <w:bookmarkEnd w:id="220"/>
      <w:bookmarkEnd w:id="221"/>
      <w:bookmarkEnd w:id="222"/>
    </w:p>
    <w:p>
      <w:pPr>
        <w:spacing w:line="560" w:lineRule="exact"/>
        <w:jc w:val="center"/>
        <w:rPr>
          <w:rFonts w:ascii="Times New Roman" w:hAnsi="Times New Roman"/>
          <w:b/>
          <w:color w:val="auto"/>
          <w:sz w:val="24"/>
          <w:highlight w:val="none"/>
        </w:rPr>
      </w:pPr>
    </w:p>
    <w:p>
      <w:pPr>
        <w:spacing w:line="360" w:lineRule="auto"/>
        <w:rPr>
          <w:rFonts w:ascii="宋体" w:hAnsi="宋体"/>
          <w:color w:val="auto"/>
          <w:sz w:val="22"/>
          <w:szCs w:val="22"/>
          <w:highlight w:val="none"/>
        </w:rPr>
      </w:pPr>
      <w:r>
        <w:rPr>
          <w:rFonts w:ascii="宋体" w:hAnsi="宋体"/>
          <w:color w:val="auto"/>
          <w:sz w:val="22"/>
          <w:szCs w:val="22"/>
          <w:highlight w:val="none"/>
        </w:rPr>
        <w:t>致：</w:t>
      </w:r>
      <w:r>
        <w:rPr>
          <w:rFonts w:ascii="宋体" w:hAnsi="宋体"/>
          <w:color w:val="auto"/>
          <w:sz w:val="22"/>
          <w:szCs w:val="22"/>
          <w:highlight w:val="none"/>
          <w:u w:val="single"/>
        </w:rPr>
        <w:t>（</w:t>
      </w:r>
      <w:r>
        <w:rPr>
          <w:rFonts w:hint="eastAsia" w:ascii="宋体" w:hAnsi="宋体"/>
          <w:color w:val="auto"/>
          <w:sz w:val="22"/>
          <w:szCs w:val="22"/>
          <w:highlight w:val="none"/>
          <w:u w:val="single"/>
        </w:rPr>
        <w:t>招标</w:t>
      </w:r>
      <w:r>
        <w:rPr>
          <w:rFonts w:ascii="宋体" w:hAnsi="宋体"/>
          <w:color w:val="auto"/>
          <w:sz w:val="22"/>
          <w:szCs w:val="22"/>
          <w:highlight w:val="none"/>
          <w:u w:val="single"/>
        </w:rPr>
        <w:t>代理机构名称）</w:t>
      </w:r>
    </w:p>
    <w:p>
      <w:pPr>
        <w:pStyle w:val="99"/>
        <w:spacing w:line="360" w:lineRule="auto"/>
        <w:ind w:firstLine="453"/>
        <w:rPr>
          <w:rFonts w:ascii="宋体" w:eastAsia="宋体"/>
          <w:color w:val="auto"/>
          <w:sz w:val="22"/>
          <w:szCs w:val="22"/>
          <w:highlight w:val="none"/>
        </w:rPr>
      </w:pPr>
      <w:r>
        <w:rPr>
          <w:rFonts w:ascii="宋体" w:eastAsia="宋体"/>
          <w:color w:val="auto"/>
          <w:sz w:val="22"/>
          <w:szCs w:val="22"/>
          <w:highlight w:val="none"/>
        </w:rPr>
        <w:t>本委托书声明：在下面签字的（法定代表人姓名、职务）代表（投标人名称）委托在下面签字的（受委托人的姓名、职务）为本公司的合法代表人，就</w:t>
      </w:r>
      <w:r>
        <w:rPr>
          <w:rFonts w:ascii="宋体" w:eastAsia="宋体"/>
          <w:color w:val="auto"/>
          <w:sz w:val="22"/>
          <w:szCs w:val="22"/>
          <w:highlight w:val="none"/>
          <w:u w:val="single"/>
        </w:rPr>
        <w:t xml:space="preserve">      </w:t>
      </w:r>
      <w:r>
        <w:rPr>
          <w:rFonts w:ascii="宋体" w:eastAsia="宋体"/>
          <w:color w:val="auto"/>
          <w:sz w:val="22"/>
          <w:szCs w:val="22"/>
          <w:highlight w:val="none"/>
        </w:rPr>
        <w:t>项目（</w:t>
      </w:r>
      <w:r>
        <w:rPr>
          <w:rFonts w:hint="eastAsia" w:ascii="宋体" w:eastAsia="宋体"/>
          <w:color w:val="auto"/>
          <w:sz w:val="22"/>
          <w:szCs w:val="22"/>
          <w:highlight w:val="none"/>
        </w:rPr>
        <w:t>项目</w:t>
      </w:r>
      <w:r>
        <w:rPr>
          <w:rFonts w:ascii="宋体" w:eastAsia="宋体"/>
          <w:color w:val="auto"/>
          <w:sz w:val="22"/>
          <w:szCs w:val="22"/>
          <w:highlight w:val="none"/>
        </w:rPr>
        <w:t>编号：</w:t>
      </w:r>
      <w:r>
        <w:rPr>
          <w:rFonts w:ascii="宋体" w:eastAsia="宋体"/>
          <w:color w:val="auto"/>
          <w:sz w:val="22"/>
          <w:szCs w:val="22"/>
          <w:highlight w:val="none"/>
          <w:u w:val="single"/>
        </w:rPr>
        <w:t xml:space="preserve">   </w:t>
      </w:r>
      <w:r>
        <w:rPr>
          <w:rFonts w:hint="eastAsia" w:ascii="宋体" w:eastAsia="宋体"/>
          <w:color w:val="auto"/>
          <w:sz w:val="22"/>
          <w:szCs w:val="22"/>
          <w:highlight w:val="none"/>
        </w:rPr>
        <w:t>包号：</w:t>
      </w:r>
      <w:r>
        <w:rPr>
          <w:rFonts w:ascii="宋体" w:eastAsia="宋体"/>
          <w:color w:val="auto"/>
          <w:sz w:val="22"/>
          <w:szCs w:val="22"/>
          <w:highlight w:val="none"/>
          <w:u w:val="single"/>
        </w:rPr>
        <w:t xml:space="preserve">   </w:t>
      </w:r>
      <w:r>
        <w:rPr>
          <w:rFonts w:ascii="宋体" w:eastAsia="宋体"/>
          <w:color w:val="auto"/>
          <w:sz w:val="22"/>
          <w:szCs w:val="22"/>
          <w:highlight w:val="none"/>
        </w:rPr>
        <w:t>）的投标及合同的执行，以我方的名义处理一切与之有关的事宜（</w:t>
      </w:r>
      <w:r>
        <w:rPr>
          <w:rFonts w:ascii="宋体" w:eastAsia="宋体"/>
          <w:b/>
          <w:color w:val="auto"/>
          <w:sz w:val="22"/>
          <w:szCs w:val="22"/>
          <w:highlight w:val="none"/>
        </w:rPr>
        <w:t>相关身份证复印件须附后</w:t>
      </w:r>
      <w:r>
        <w:rPr>
          <w:rFonts w:ascii="宋体" w:eastAsia="宋体"/>
          <w:color w:val="auto"/>
          <w:sz w:val="22"/>
          <w:szCs w:val="22"/>
          <w:highlight w:val="none"/>
        </w:rPr>
        <w:t>）。</w:t>
      </w:r>
    </w:p>
    <w:p>
      <w:pPr>
        <w:pStyle w:val="99"/>
        <w:spacing w:line="360" w:lineRule="auto"/>
        <w:ind w:firstLine="453"/>
        <w:rPr>
          <w:rFonts w:ascii="宋体" w:eastAsia="宋体"/>
          <w:color w:val="auto"/>
          <w:sz w:val="22"/>
          <w:szCs w:val="22"/>
          <w:highlight w:val="none"/>
        </w:rPr>
      </w:pPr>
    </w:p>
    <w:p>
      <w:pPr>
        <w:pStyle w:val="99"/>
        <w:spacing w:line="360" w:lineRule="auto"/>
        <w:ind w:firstLine="453"/>
        <w:rPr>
          <w:rFonts w:ascii="宋体" w:eastAsia="宋体"/>
          <w:color w:val="auto"/>
          <w:sz w:val="22"/>
          <w:szCs w:val="22"/>
          <w:highlight w:val="none"/>
        </w:rPr>
      </w:pPr>
      <w:r>
        <w:rPr>
          <w:rFonts w:ascii="宋体" w:eastAsia="宋体"/>
          <w:color w:val="auto"/>
          <w:sz w:val="22"/>
          <w:szCs w:val="22"/>
          <w:highlight w:val="none"/>
        </w:rPr>
        <w:t>本委托书于</w:t>
      </w:r>
      <w:r>
        <w:rPr>
          <w:rFonts w:ascii="宋体" w:eastAsia="宋体"/>
          <w:color w:val="auto"/>
          <w:sz w:val="22"/>
          <w:szCs w:val="22"/>
          <w:highlight w:val="none"/>
          <w:u w:val="single"/>
        </w:rPr>
        <w:t xml:space="preserve">　  </w:t>
      </w:r>
      <w:r>
        <w:rPr>
          <w:rFonts w:ascii="宋体" w:eastAsia="宋体"/>
          <w:color w:val="auto"/>
          <w:sz w:val="22"/>
          <w:szCs w:val="22"/>
          <w:highlight w:val="none"/>
        </w:rPr>
        <w:t>年</w:t>
      </w:r>
      <w:r>
        <w:rPr>
          <w:rFonts w:ascii="宋体" w:eastAsia="宋体"/>
          <w:color w:val="auto"/>
          <w:sz w:val="22"/>
          <w:szCs w:val="22"/>
          <w:highlight w:val="none"/>
          <w:u w:val="single"/>
        </w:rPr>
        <w:t xml:space="preserve">　  </w:t>
      </w:r>
      <w:r>
        <w:rPr>
          <w:rFonts w:ascii="宋体" w:eastAsia="宋体"/>
          <w:color w:val="auto"/>
          <w:sz w:val="22"/>
          <w:szCs w:val="22"/>
          <w:highlight w:val="none"/>
        </w:rPr>
        <w:t>月</w:t>
      </w:r>
      <w:r>
        <w:rPr>
          <w:rFonts w:ascii="宋体" w:eastAsia="宋体"/>
          <w:color w:val="auto"/>
          <w:sz w:val="22"/>
          <w:szCs w:val="22"/>
          <w:highlight w:val="none"/>
          <w:u w:val="single"/>
        </w:rPr>
        <w:t xml:space="preserve">　  </w:t>
      </w:r>
      <w:r>
        <w:rPr>
          <w:rFonts w:ascii="宋体" w:eastAsia="宋体"/>
          <w:color w:val="auto"/>
          <w:sz w:val="22"/>
          <w:szCs w:val="22"/>
          <w:highlight w:val="none"/>
        </w:rPr>
        <w:t>日签字生效。</w:t>
      </w:r>
    </w:p>
    <w:p>
      <w:pPr>
        <w:pStyle w:val="99"/>
        <w:spacing w:line="360" w:lineRule="auto"/>
        <w:ind w:firstLine="453"/>
        <w:rPr>
          <w:rFonts w:ascii="宋体" w:eastAsia="宋体"/>
          <w:color w:val="auto"/>
          <w:sz w:val="22"/>
          <w:szCs w:val="22"/>
          <w:highlight w:val="none"/>
        </w:rPr>
      </w:pPr>
    </w:p>
    <w:p>
      <w:pPr>
        <w:pStyle w:val="99"/>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投标人名称（</w:t>
      </w:r>
      <w:r>
        <w:rPr>
          <w:rFonts w:hint="eastAsia" w:ascii="宋体" w:eastAsia="宋体"/>
          <w:color w:val="auto"/>
          <w:sz w:val="22"/>
          <w:szCs w:val="22"/>
          <w:highlight w:val="none"/>
        </w:rPr>
        <w:t>加盖</w:t>
      </w:r>
      <w:r>
        <w:rPr>
          <w:rFonts w:ascii="宋体" w:eastAsia="宋体"/>
          <w:color w:val="auto"/>
          <w:sz w:val="22"/>
          <w:szCs w:val="22"/>
          <w:highlight w:val="none"/>
        </w:rPr>
        <w:t>公章）：</w:t>
      </w:r>
    </w:p>
    <w:p>
      <w:pPr>
        <w:pStyle w:val="99"/>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投标人地址：</w:t>
      </w:r>
    </w:p>
    <w:p>
      <w:pPr>
        <w:pStyle w:val="99"/>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法定代表人（</w:t>
      </w:r>
      <w:r>
        <w:rPr>
          <w:rFonts w:hint="eastAsia" w:ascii="宋体" w:eastAsia="宋体"/>
          <w:color w:val="auto"/>
          <w:sz w:val="22"/>
          <w:szCs w:val="22"/>
          <w:highlight w:val="none"/>
        </w:rPr>
        <w:t>签名或盖章</w:t>
      </w:r>
      <w:r>
        <w:rPr>
          <w:rFonts w:ascii="宋体" w:eastAsia="宋体"/>
          <w:color w:val="auto"/>
          <w:sz w:val="22"/>
          <w:szCs w:val="22"/>
          <w:highlight w:val="none"/>
        </w:rPr>
        <w:t>）：</w:t>
      </w:r>
    </w:p>
    <w:p>
      <w:pPr>
        <w:pStyle w:val="99"/>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职　　　务：</w:t>
      </w:r>
    </w:p>
    <w:p>
      <w:pPr>
        <w:pStyle w:val="99"/>
        <w:spacing w:line="360" w:lineRule="auto"/>
        <w:ind w:firstLine="3520" w:firstLineChars="1600"/>
        <w:rPr>
          <w:rFonts w:ascii="宋体" w:eastAsia="宋体"/>
          <w:color w:val="auto"/>
          <w:sz w:val="22"/>
          <w:szCs w:val="22"/>
          <w:highlight w:val="none"/>
        </w:rPr>
      </w:pPr>
      <w:r>
        <w:rPr>
          <w:rFonts w:hint="eastAsia" w:ascii="宋体" w:eastAsia="宋体"/>
          <w:color w:val="auto"/>
          <w:sz w:val="22"/>
          <w:szCs w:val="22"/>
          <w:highlight w:val="none"/>
        </w:rPr>
        <w:t>被授权</w:t>
      </w:r>
      <w:r>
        <w:rPr>
          <w:rFonts w:ascii="宋体" w:eastAsia="宋体"/>
          <w:color w:val="auto"/>
          <w:sz w:val="22"/>
          <w:szCs w:val="22"/>
          <w:highlight w:val="none"/>
        </w:rPr>
        <w:t>人（</w:t>
      </w:r>
      <w:r>
        <w:rPr>
          <w:rFonts w:hint="eastAsia" w:ascii="宋体" w:eastAsia="宋体"/>
          <w:color w:val="auto"/>
          <w:sz w:val="22"/>
          <w:szCs w:val="22"/>
          <w:highlight w:val="none"/>
        </w:rPr>
        <w:t>签名或盖章</w:t>
      </w:r>
      <w:r>
        <w:rPr>
          <w:rFonts w:ascii="宋体" w:eastAsia="宋体"/>
          <w:color w:val="auto"/>
          <w:sz w:val="22"/>
          <w:szCs w:val="22"/>
          <w:highlight w:val="none"/>
        </w:rPr>
        <w:t>）：</w:t>
      </w:r>
    </w:p>
    <w:p>
      <w:pPr>
        <w:pStyle w:val="99"/>
        <w:spacing w:line="360" w:lineRule="auto"/>
        <w:ind w:firstLine="3520" w:firstLineChars="1600"/>
        <w:rPr>
          <w:rFonts w:ascii="宋体" w:eastAsia="宋体"/>
          <w:color w:val="auto"/>
          <w:sz w:val="22"/>
          <w:szCs w:val="22"/>
          <w:highlight w:val="none"/>
        </w:rPr>
      </w:pPr>
      <w:r>
        <w:rPr>
          <w:rFonts w:ascii="宋体" w:eastAsia="宋体"/>
          <w:color w:val="auto"/>
          <w:sz w:val="22"/>
          <w:szCs w:val="22"/>
          <w:highlight w:val="none"/>
        </w:rPr>
        <w:t>职　　　务：</w:t>
      </w:r>
    </w:p>
    <w:p>
      <w:pPr>
        <w:pStyle w:val="99"/>
        <w:spacing w:line="360" w:lineRule="auto"/>
        <w:ind w:firstLine="453"/>
        <w:rPr>
          <w:rFonts w:ascii="宋体" w:eastAsia="宋体"/>
          <w:color w:val="auto"/>
          <w:sz w:val="22"/>
          <w:szCs w:val="22"/>
          <w:highlight w:val="none"/>
        </w:rPr>
      </w:pPr>
    </w:p>
    <w:p>
      <w:pPr>
        <w:spacing w:line="360" w:lineRule="auto"/>
        <w:rPr>
          <w:rFonts w:ascii="宋体" w:hAnsi="宋体"/>
          <w:color w:val="auto"/>
          <w:sz w:val="22"/>
          <w:szCs w:val="22"/>
          <w:highlight w:val="none"/>
        </w:rPr>
      </w:pPr>
      <w:r>
        <w:rPr>
          <w:rFonts w:ascii="宋体" w:hAnsi="宋体"/>
          <w:color w:val="auto"/>
          <w:sz w:val="22"/>
          <w:szCs w:val="22"/>
          <w:highlight w:val="none"/>
        </w:rPr>
        <w:t>　　　　　　</w:t>
      </w:r>
    </w:p>
    <w:p>
      <w:pPr>
        <w:spacing w:line="360" w:lineRule="auto"/>
        <w:rPr>
          <w:rFonts w:ascii="宋体" w:hAnsi="宋体"/>
          <w:b/>
          <w:color w:val="auto"/>
          <w:sz w:val="22"/>
          <w:szCs w:val="22"/>
          <w:highlight w:val="none"/>
        </w:rPr>
      </w:pPr>
      <w:bookmarkStart w:id="223" w:name="_Toc88985370"/>
      <w:bookmarkStart w:id="224" w:name="_Toc210188799"/>
      <w:r>
        <w:rPr>
          <w:rFonts w:ascii="宋体" w:hAnsi="宋体"/>
          <w:b/>
          <w:color w:val="auto"/>
          <w:sz w:val="22"/>
          <w:szCs w:val="22"/>
          <w:highlight w:val="none"/>
        </w:rPr>
        <w:t>注：如法定代表人投标不需附</w:t>
      </w:r>
      <w:r>
        <w:rPr>
          <w:rFonts w:hint="eastAsia" w:ascii="宋体" w:hAnsi="宋体" w:eastAsia="宋体"/>
          <w:b/>
          <w:color w:val="auto"/>
          <w:szCs w:val="21"/>
          <w:highlight w:val="none"/>
        </w:rPr>
        <w:t>此委托书</w:t>
      </w:r>
      <w:r>
        <w:rPr>
          <w:rFonts w:ascii="宋体" w:hAnsi="宋体"/>
          <w:b/>
          <w:color w:val="auto"/>
          <w:sz w:val="22"/>
          <w:szCs w:val="22"/>
          <w:highlight w:val="none"/>
        </w:rPr>
        <w:t>。</w:t>
      </w:r>
    </w:p>
    <w:p>
      <w:pPr>
        <w:spacing w:line="360" w:lineRule="auto"/>
        <w:rPr>
          <w:rFonts w:ascii="宋体" w:hAnsi="宋体"/>
          <w:b/>
          <w:color w:val="auto"/>
          <w:sz w:val="22"/>
          <w:szCs w:val="22"/>
          <w:highlight w:val="none"/>
        </w:rPr>
      </w:pPr>
    </w:p>
    <w:p>
      <w:pPr>
        <w:widowControl/>
        <w:jc w:val="left"/>
        <w:rPr>
          <w:rFonts w:ascii="宋体" w:hAnsi="宋体"/>
          <w:b/>
          <w:bCs/>
          <w:color w:val="auto"/>
          <w:sz w:val="22"/>
          <w:szCs w:val="22"/>
          <w:highlight w:val="none"/>
        </w:rPr>
      </w:pPr>
      <w:bookmarkStart w:id="225" w:name="_Toc441844120"/>
      <w:r>
        <w:rPr>
          <w:rFonts w:ascii="宋体" w:hAnsi="宋体"/>
          <w:color w:val="auto"/>
          <w:sz w:val="22"/>
          <w:szCs w:val="22"/>
          <w:highlight w:val="none"/>
        </w:rPr>
        <w:br w:type="page"/>
      </w:r>
    </w:p>
    <w:p>
      <w:pPr>
        <w:pStyle w:val="5"/>
        <w:spacing w:line="360" w:lineRule="auto"/>
        <w:jc w:val="center"/>
        <w:rPr>
          <w:rFonts w:ascii="宋体" w:hAnsi="宋体"/>
          <w:color w:val="auto"/>
          <w:sz w:val="24"/>
          <w:szCs w:val="24"/>
          <w:highlight w:val="none"/>
        </w:rPr>
      </w:pPr>
      <w:bookmarkStart w:id="226" w:name="_Toc61529874"/>
      <w:r>
        <w:rPr>
          <w:rFonts w:ascii="宋体" w:hAnsi="宋体"/>
          <w:color w:val="auto"/>
          <w:sz w:val="24"/>
          <w:szCs w:val="24"/>
          <w:highlight w:val="none"/>
        </w:rPr>
        <w:t>5、资格文件声明函</w:t>
      </w:r>
      <w:bookmarkEnd w:id="225"/>
      <w:bookmarkEnd w:id="226"/>
    </w:p>
    <w:p>
      <w:pPr>
        <w:pStyle w:val="25"/>
        <w:spacing w:line="360" w:lineRule="auto"/>
        <w:jc w:val="center"/>
        <w:rPr>
          <w:rFonts w:hAnsi="宋体" w:cs="Times New Roman"/>
          <w:color w:val="auto"/>
          <w:sz w:val="22"/>
          <w:highlight w:val="none"/>
        </w:rPr>
      </w:pPr>
    </w:p>
    <w:p>
      <w:pPr>
        <w:pStyle w:val="25"/>
        <w:spacing w:line="360" w:lineRule="auto"/>
        <w:rPr>
          <w:rFonts w:hAnsi="宋体" w:cs="Times New Roman"/>
          <w:color w:val="auto"/>
          <w:sz w:val="22"/>
          <w:highlight w:val="none"/>
        </w:rPr>
      </w:pPr>
      <w:r>
        <w:rPr>
          <w:rFonts w:hAnsi="宋体" w:cs="Times New Roman"/>
          <w:color w:val="auto"/>
          <w:sz w:val="22"/>
          <w:highlight w:val="none"/>
        </w:rPr>
        <w:t>致:</w:t>
      </w:r>
      <w:r>
        <w:rPr>
          <w:rFonts w:hAnsi="宋体" w:cs="Times New Roman"/>
          <w:color w:val="auto"/>
          <w:sz w:val="22"/>
          <w:highlight w:val="none"/>
          <w:u w:val="single"/>
        </w:rPr>
        <w:t>（</w:t>
      </w:r>
      <w:r>
        <w:rPr>
          <w:rFonts w:hint="eastAsia" w:hAnsi="宋体" w:cs="Times New Roman"/>
          <w:color w:val="auto"/>
          <w:sz w:val="22"/>
          <w:highlight w:val="none"/>
          <w:u w:val="single"/>
        </w:rPr>
        <w:t>招标</w:t>
      </w:r>
      <w:r>
        <w:rPr>
          <w:rFonts w:hAnsi="宋体" w:cs="Times New Roman"/>
          <w:color w:val="auto"/>
          <w:sz w:val="22"/>
          <w:highlight w:val="none"/>
          <w:u w:val="single"/>
        </w:rPr>
        <w:t>代理机构名称）</w:t>
      </w:r>
    </w:p>
    <w:p>
      <w:pPr>
        <w:pStyle w:val="25"/>
        <w:spacing w:line="360" w:lineRule="auto"/>
        <w:rPr>
          <w:rFonts w:hAnsi="宋体" w:cs="Times New Roman"/>
          <w:color w:val="auto"/>
          <w:sz w:val="22"/>
          <w:highlight w:val="none"/>
        </w:rPr>
      </w:pPr>
    </w:p>
    <w:p>
      <w:pPr>
        <w:spacing w:line="360" w:lineRule="auto"/>
        <w:ind w:firstLine="600"/>
        <w:rPr>
          <w:rFonts w:ascii="宋体" w:hAnsi="宋体"/>
          <w:color w:val="auto"/>
          <w:sz w:val="22"/>
          <w:szCs w:val="22"/>
          <w:highlight w:val="none"/>
        </w:rPr>
      </w:pPr>
      <w:r>
        <w:rPr>
          <w:rFonts w:ascii="宋体" w:hAnsi="宋体"/>
          <w:color w:val="auto"/>
          <w:sz w:val="22"/>
          <w:szCs w:val="22"/>
          <w:highlight w:val="none"/>
        </w:rPr>
        <w:t>关于贵方</w:t>
      </w:r>
      <w:r>
        <w:rPr>
          <w:rFonts w:hint="eastAsia" w:ascii="宋体" w:hAnsi="宋体"/>
          <w:color w:val="auto"/>
          <w:sz w:val="22"/>
          <w:szCs w:val="22"/>
          <w:highlight w:val="none"/>
          <w:u w:val="single"/>
        </w:rPr>
        <w:t xml:space="preserve">  </w:t>
      </w:r>
      <w:r>
        <w:rPr>
          <w:rFonts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ascii="宋体" w:hAnsi="宋体"/>
          <w:color w:val="auto"/>
          <w:sz w:val="22"/>
          <w:szCs w:val="22"/>
          <w:highlight w:val="none"/>
        </w:rPr>
        <w:t>日</w:t>
      </w:r>
      <w:r>
        <w:rPr>
          <w:rFonts w:ascii="宋体"/>
          <w:color w:val="auto"/>
          <w:sz w:val="22"/>
          <w:szCs w:val="22"/>
          <w:highlight w:val="none"/>
          <w:u w:val="single"/>
        </w:rPr>
        <w:t xml:space="preserve">      </w:t>
      </w:r>
      <w:r>
        <w:rPr>
          <w:rFonts w:hint="eastAsia" w:ascii="宋体"/>
          <w:color w:val="auto"/>
          <w:sz w:val="22"/>
          <w:szCs w:val="22"/>
          <w:highlight w:val="none"/>
          <w:u w:val="single"/>
        </w:rPr>
        <w:t>项目</w:t>
      </w:r>
      <w:r>
        <w:rPr>
          <w:rFonts w:ascii="宋体" w:hAnsi="宋体"/>
          <w:color w:val="auto"/>
          <w:sz w:val="22"/>
          <w:szCs w:val="22"/>
          <w:highlight w:val="none"/>
        </w:rPr>
        <w:t>（</w:t>
      </w:r>
      <w:r>
        <w:rPr>
          <w:rFonts w:hint="eastAsia" w:ascii="宋体" w:hAnsi="宋体"/>
          <w:color w:val="auto"/>
          <w:sz w:val="22"/>
          <w:szCs w:val="22"/>
          <w:highlight w:val="none"/>
        </w:rPr>
        <w:t>项目</w:t>
      </w:r>
      <w:r>
        <w:rPr>
          <w:rFonts w:ascii="宋体" w:hAnsi="宋体"/>
          <w:color w:val="auto"/>
          <w:sz w:val="22"/>
          <w:szCs w:val="22"/>
          <w:highlight w:val="none"/>
        </w:rPr>
        <w:t>编号：</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包号：</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）的招标邀请，本签字人</w:t>
      </w:r>
      <w:r>
        <w:rPr>
          <w:rFonts w:ascii="宋体" w:hAnsi="宋体"/>
          <w:color w:val="auto"/>
          <w:sz w:val="22"/>
          <w:szCs w:val="22"/>
          <w:highlight w:val="none"/>
          <w:u w:val="single"/>
        </w:rPr>
        <w:t>(法定代表人)</w:t>
      </w:r>
      <w:r>
        <w:rPr>
          <w:rFonts w:ascii="宋体" w:hAnsi="宋体"/>
          <w:color w:val="auto"/>
          <w:sz w:val="22"/>
          <w:szCs w:val="22"/>
          <w:highlight w:val="none"/>
        </w:rPr>
        <w:t>愿意参加投标,提供招标</w:t>
      </w:r>
      <w:r>
        <w:rPr>
          <w:rFonts w:hint="eastAsia" w:ascii="宋体" w:hAnsi="宋体"/>
          <w:color w:val="auto"/>
          <w:sz w:val="22"/>
          <w:szCs w:val="22"/>
          <w:highlight w:val="none"/>
        </w:rPr>
        <w:t>文件</w:t>
      </w:r>
      <w:r>
        <w:rPr>
          <w:rFonts w:ascii="宋体" w:hAnsi="宋体"/>
          <w:color w:val="auto"/>
          <w:sz w:val="22"/>
          <w:szCs w:val="22"/>
          <w:highlight w:val="none"/>
        </w:rPr>
        <w:t>中规定的</w:t>
      </w:r>
      <w:r>
        <w:rPr>
          <w:rFonts w:hint="eastAsia" w:ascii="宋体" w:hAnsi="宋体"/>
          <w:color w:val="auto"/>
          <w:sz w:val="22"/>
          <w:szCs w:val="22"/>
          <w:highlight w:val="none"/>
        </w:rPr>
        <w:t>货物或服务</w:t>
      </w:r>
      <w:r>
        <w:rPr>
          <w:rFonts w:ascii="宋体" w:hAnsi="宋体"/>
          <w:color w:val="auto"/>
          <w:sz w:val="22"/>
          <w:szCs w:val="22"/>
          <w:highlight w:val="none"/>
        </w:rPr>
        <w:t>项目，并证明提交的资格文件和说明是准确、真实、有效的，并已清楚招标文件的要求及有关文件规定。并承诺在本次招标采购活动中，如有违法、违规、弄虚作假行为，所造成的损失、不良后果及法律责任，一律由我公司（企业）承担。</w:t>
      </w:r>
    </w:p>
    <w:p>
      <w:pPr>
        <w:spacing w:line="360" w:lineRule="auto"/>
        <w:rPr>
          <w:rFonts w:ascii="宋体" w:hAnsi="宋体"/>
          <w:color w:val="auto"/>
          <w:sz w:val="22"/>
          <w:szCs w:val="22"/>
          <w:highlight w:val="none"/>
        </w:rPr>
      </w:pPr>
      <w:r>
        <w:rPr>
          <w:rFonts w:ascii="宋体" w:hAnsi="宋体"/>
          <w:color w:val="auto"/>
          <w:sz w:val="22"/>
          <w:szCs w:val="22"/>
          <w:highlight w:val="none"/>
        </w:rPr>
        <w:t xml:space="preserve">    特此声明！</w:t>
      </w:r>
    </w:p>
    <w:p>
      <w:pPr>
        <w:pStyle w:val="25"/>
        <w:spacing w:line="360" w:lineRule="auto"/>
        <w:rPr>
          <w:rFonts w:hAnsi="宋体" w:cs="Times New Roman"/>
          <w:color w:val="auto"/>
          <w:sz w:val="22"/>
          <w:highlight w:val="none"/>
        </w:rPr>
      </w:pPr>
    </w:p>
    <w:p>
      <w:pPr>
        <w:pStyle w:val="25"/>
        <w:spacing w:line="360" w:lineRule="auto"/>
        <w:rPr>
          <w:rFonts w:hAnsi="宋体" w:cs="Times New Roman"/>
          <w:color w:val="auto"/>
          <w:sz w:val="22"/>
          <w:highlight w:val="none"/>
        </w:rPr>
      </w:pPr>
    </w:p>
    <w:p>
      <w:pPr>
        <w:pStyle w:val="25"/>
        <w:spacing w:line="360" w:lineRule="auto"/>
        <w:rPr>
          <w:rFonts w:hAnsi="宋体" w:cs="Times New Roman"/>
          <w:color w:val="auto"/>
          <w:sz w:val="22"/>
          <w:highlight w:val="none"/>
        </w:rPr>
      </w:pPr>
    </w:p>
    <w:p>
      <w:pPr>
        <w:pStyle w:val="25"/>
        <w:spacing w:line="360" w:lineRule="auto"/>
        <w:rPr>
          <w:rFonts w:hAnsi="宋体" w:cs="Times New Roman"/>
          <w:color w:val="auto"/>
          <w:sz w:val="22"/>
          <w:highlight w:val="none"/>
        </w:rPr>
      </w:pPr>
    </w:p>
    <w:p>
      <w:pPr>
        <w:pStyle w:val="25"/>
        <w:spacing w:line="360" w:lineRule="auto"/>
        <w:rPr>
          <w:rFonts w:hAnsi="宋体" w:cs="Times New Roman"/>
          <w:color w:val="auto"/>
          <w:sz w:val="22"/>
          <w:highlight w:val="none"/>
        </w:rPr>
      </w:pPr>
    </w:p>
    <w:p>
      <w:pPr>
        <w:pStyle w:val="99"/>
        <w:spacing w:before="1404" w:beforeLines="450" w:line="360" w:lineRule="auto"/>
        <w:ind w:firstLine="3784" w:firstLineChars="180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360" w:lineRule="auto"/>
        <w:ind w:firstLine="3784" w:firstLineChars="1802"/>
        <w:rPr>
          <w:rFonts w:ascii="宋体" w:hAnsi="宋体" w:eastAsia="宋体"/>
          <w:color w:val="auto"/>
          <w:sz w:val="21"/>
          <w:szCs w:val="21"/>
          <w:highlight w:val="none"/>
        </w:rPr>
      </w:pPr>
      <w:r>
        <w:rPr>
          <w:rFonts w:hint="eastAsia" w:ascii="宋体" w:hAnsi="宋体" w:eastAsia="宋体"/>
          <w:color w:val="auto"/>
          <w:sz w:val="21"/>
          <w:szCs w:val="21"/>
          <w:highlight w:val="none"/>
        </w:rPr>
        <w:t>投标人法定代表人或被授权人（签名或盖私章）：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pPr>
        <w:pStyle w:val="99"/>
        <w:spacing w:line="360" w:lineRule="auto"/>
        <w:ind w:firstLine="3784" w:firstLineChars="180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u w:val="single"/>
        </w:rPr>
        <w:t xml:space="preserve">     年     月      日</w:t>
      </w:r>
    </w:p>
    <w:p>
      <w:pPr>
        <w:spacing w:line="360" w:lineRule="auto"/>
        <w:rPr>
          <w:rFonts w:ascii="Times New Roman" w:hAnsi="Times New Roman"/>
          <w:color w:val="auto"/>
          <w:highlight w:val="none"/>
        </w:rPr>
      </w:pPr>
    </w:p>
    <w:p>
      <w:pPr>
        <w:spacing w:line="560" w:lineRule="exact"/>
        <w:rPr>
          <w:rFonts w:ascii="Times New Roman" w:hAnsi="Times New Roman"/>
          <w:color w:val="auto"/>
          <w:highlight w:val="none"/>
        </w:rPr>
      </w:pPr>
    </w:p>
    <w:p>
      <w:pPr>
        <w:spacing w:line="560" w:lineRule="exact"/>
        <w:rPr>
          <w:rFonts w:ascii="Times New Roman" w:hAnsi="Times New Roman"/>
          <w:color w:val="auto"/>
          <w:highlight w:val="none"/>
        </w:rPr>
      </w:pPr>
    </w:p>
    <w:p>
      <w:pPr>
        <w:spacing w:line="560" w:lineRule="exact"/>
        <w:rPr>
          <w:rFonts w:ascii="Times New Roman" w:hAnsi="Times New Roman"/>
          <w:color w:val="auto"/>
          <w:highlight w:val="none"/>
        </w:rPr>
      </w:pPr>
    </w:p>
    <w:p>
      <w:pPr>
        <w:spacing w:line="560" w:lineRule="exact"/>
        <w:rPr>
          <w:rFonts w:ascii="Times New Roman" w:hAnsi="Times New Roman"/>
          <w:color w:val="auto"/>
          <w:highlight w:val="none"/>
        </w:rPr>
      </w:pPr>
    </w:p>
    <w:p>
      <w:pPr>
        <w:widowControl/>
        <w:jc w:val="left"/>
        <w:rPr>
          <w:rFonts w:ascii="Times New Roman" w:hAnsi="Times New Roman"/>
          <w:b/>
          <w:bCs/>
          <w:color w:val="auto"/>
          <w:sz w:val="24"/>
          <w:szCs w:val="32"/>
          <w:highlight w:val="none"/>
        </w:rPr>
      </w:pPr>
      <w:bookmarkStart w:id="227" w:name="_Toc252176852"/>
      <w:bookmarkStart w:id="228" w:name="_Toc251236136"/>
      <w:bookmarkStart w:id="229" w:name="_Toc256783361"/>
      <w:bookmarkStart w:id="230" w:name="_Toc441844121"/>
      <w:bookmarkStart w:id="231" w:name="_Toc415"/>
      <w:bookmarkStart w:id="232" w:name="_Toc234656243"/>
      <w:bookmarkStart w:id="233" w:name="_Toc50737300"/>
      <w:bookmarkStart w:id="234" w:name="_Toc52165084"/>
      <w:bookmarkStart w:id="235" w:name="_Toc50737332"/>
      <w:bookmarkStart w:id="236" w:name="_Toc50691042"/>
      <w:bookmarkStart w:id="237" w:name="_Toc50736480"/>
    </w:p>
    <w:p>
      <w:pPr>
        <w:widowControl/>
        <w:jc w:val="left"/>
        <w:rPr>
          <w:rFonts w:ascii="Times New Roman" w:hAnsi="Times New Roman"/>
          <w:b/>
          <w:bCs/>
          <w:color w:val="auto"/>
          <w:sz w:val="24"/>
          <w:szCs w:val="32"/>
          <w:highlight w:val="none"/>
        </w:rPr>
      </w:pPr>
      <w:r>
        <w:rPr>
          <w:rFonts w:ascii="Times New Roman" w:hAnsi="Times New Roman"/>
          <w:b/>
          <w:bCs/>
          <w:color w:val="auto"/>
          <w:sz w:val="24"/>
          <w:szCs w:val="32"/>
          <w:highlight w:val="none"/>
        </w:rPr>
        <w:br w:type="page"/>
      </w:r>
    </w:p>
    <w:p>
      <w:pPr>
        <w:pStyle w:val="5"/>
        <w:spacing w:line="360" w:lineRule="auto"/>
        <w:jc w:val="center"/>
        <w:rPr>
          <w:rFonts w:ascii="宋体" w:hAnsi="宋体"/>
          <w:color w:val="auto"/>
          <w:sz w:val="24"/>
          <w:szCs w:val="24"/>
          <w:highlight w:val="none"/>
        </w:rPr>
      </w:pPr>
      <w:bookmarkStart w:id="238" w:name="_Toc61529875"/>
      <w:r>
        <w:rPr>
          <w:rFonts w:ascii="宋体" w:hAnsi="宋体"/>
          <w:color w:val="auto"/>
          <w:sz w:val="24"/>
          <w:szCs w:val="24"/>
          <w:highlight w:val="none"/>
        </w:rPr>
        <w:t>6、投标单位基本情况</w:t>
      </w:r>
      <w:bookmarkEnd w:id="227"/>
      <w:bookmarkEnd w:id="228"/>
      <w:bookmarkEnd w:id="229"/>
      <w:bookmarkEnd w:id="230"/>
      <w:bookmarkEnd w:id="231"/>
      <w:bookmarkEnd w:id="232"/>
      <w:r>
        <w:rPr>
          <w:rFonts w:hint="eastAsia" w:ascii="宋体" w:hAnsi="宋体"/>
          <w:color w:val="auto"/>
          <w:sz w:val="24"/>
          <w:szCs w:val="24"/>
          <w:highlight w:val="none"/>
        </w:rPr>
        <w:t>、简介</w:t>
      </w:r>
      <w:bookmarkEnd w:id="238"/>
    </w:p>
    <w:tbl>
      <w:tblPr>
        <w:tblStyle w:val="5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94"/>
        <w:gridCol w:w="860"/>
        <w:gridCol w:w="934"/>
        <w:gridCol w:w="1329"/>
        <w:gridCol w:w="46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投标人全称</w:t>
            </w:r>
          </w:p>
        </w:tc>
        <w:tc>
          <w:tcPr>
            <w:tcW w:w="1472"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p>
        </w:tc>
        <w:tc>
          <w:tcPr>
            <w:tcW w:w="1255"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企业性质</w:t>
            </w:r>
          </w:p>
        </w:tc>
        <w:tc>
          <w:tcPr>
            <w:tcW w:w="125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地址</w:t>
            </w:r>
          </w:p>
        </w:tc>
        <w:tc>
          <w:tcPr>
            <w:tcW w:w="1472"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p>
        </w:tc>
        <w:tc>
          <w:tcPr>
            <w:tcW w:w="1255"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电话</w:t>
            </w:r>
            <w:r>
              <w:rPr>
                <w:rFonts w:ascii="宋体" w:hAnsi="宋体" w:eastAsia="宋体"/>
                <w:snapToGrid w:val="0"/>
                <w:color w:val="auto"/>
                <w:szCs w:val="21"/>
                <w:highlight w:val="none"/>
              </w:rPr>
              <w:t>/</w:t>
            </w:r>
            <w:r>
              <w:rPr>
                <w:rFonts w:hint="eastAsia" w:ascii="宋体" w:hAnsi="宋体" w:eastAsia="宋体"/>
                <w:snapToGrid w:val="0"/>
                <w:color w:val="auto"/>
                <w:szCs w:val="21"/>
                <w:highlight w:val="none"/>
              </w:rPr>
              <w:t>传真</w:t>
            </w:r>
          </w:p>
        </w:tc>
        <w:tc>
          <w:tcPr>
            <w:tcW w:w="125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成立年月</w:t>
            </w:r>
          </w:p>
        </w:tc>
        <w:tc>
          <w:tcPr>
            <w:tcW w:w="1472"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p>
        </w:tc>
        <w:tc>
          <w:tcPr>
            <w:tcW w:w="1255" w:type="pct"/>
            <w:gridSpan w:val="2"/>
            <w:vMerge w:val="restar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经营范围</w:t>
            </w:r>
          </w:p>
        </w:tc>
        <w:tc>
          <w:tcPr>
            <w:tcW w:w="1255" w:type="pct"/>
            <w:gridSpan w:val="2"/>
            <w:vMerge w:val="restar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营业执照号码</w:t>
            </w:r>
          </w:p>
        </w:tc>
        <w:tc>
          <w:tcPr>
            <w:tcW w:w="1472"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p>
        </w:tc>
        <w:tc>
          <w:tcPr>
            <w:tcW w:w="1255" w:type="pct"/>
            <w:gridSpan w:val="2"/>
            <w:vMerge w:val="continue"/>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p>
        </w:tc>
        <w:tc>
          <w:tcPr>
            <w:tcW w:w="1255" w:type="pct"/>
            <w:gridSpan w:val="2"/>
            <w:vMerge w:val="continue"/>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注册资金</w:t>
            </w:r>
          </w:p>
        </w:tc>
        <w:tc>
          <w:tcPr>
            <w:tcW w:w="1472"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p>
        </w:tc>
        <w:tc>
          <w:tcPr>
            <w:tcW w:w="1255" w:type="pct"/>
            <w:gridSpan w:val="2"/>
            <w:noWrap w:val="0"/>
            <w:vAlign w:val="bottom"/>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职工人数</w:t>
            </w:r>
          </w:p>
        </w:tc>
        <w:tc>
          <w:tcPr>
            <w:tcW w:w="125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vMerge w:val="restar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公司所获证书</w:t>
            </w:r>
          </w:p>
        </w:tc>
        <w:tc>
          <w:tcPr>
            <w:tcW w:w="995" w:type="pct"/>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证书名称</w:t>
            </w:r>
          </w:p>
        </w:tc>
        <w:tc>
          <w:tcPr>
            <w:tcW w:w="995" w:type="pct"/>
            <w:gridSpan w:val="2"/>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发证单位</w:t>
            </w:r>
          </w:p>
        </w:tc>
        <w:tc>
          <w:tcPr>
            <w:tcW w:w="995" w:type="pct"/>
            <w:gridSpan w:val="2"/>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证书等级</w:t>
            </w:r>
          </w:p>
        </w:tc>
        <w:tc>
          <w:tcPr>
            <w:tcW w:w="997" w:type="pct"/>
            <w:noWrap w:val="0"/>
            <w:vAlign w:val="center"/>
          </w:tcPr>
          <w:p>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vMerge w:val="continue"/>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7"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18" w:type="pct"/>
            <w:vMerge w:val="continue"/>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7"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018" w:type="pct"/>
            <w:vMerge w:val="restar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公司财务状况</w:t>
            </w:r>
          </w:p>
        </w:tc>
        <w:tc>
          <w:tcPr>
            <w:tcW w:w="995" w:type="pct"/>
            <w:noWrap w:val="0"/>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年  度</w:t>
            </w:r>
          </w:p>
        </w:tc>
        <w:tc>
          <w:tcPr>
            <w:tcW w:w="995" w:type="pct"/>
            <w:gridSpan w:val="2"/>
            <w:noWrap w:val="0"/>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总资产（元）</w:t>
            </w:r>
          </w:p>
        </w:tc>
        <w:tc>
          <w:tcPr>
            <w:tcW w:w="995" w:type="pct"/>
            <w:gridSpan w:val="2"/>
            <w:noWrap w:val="0"/>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年营业额（元）</w:t>
            </w:r>
          </w:p>
        </w:tc>
        <w:tc>
          <w:tcPr>
            <w:tcW w:w="997" w:type="pct"/>
            <w:noWrap w:val="0"/>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年净利润（元）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018" w:type="pct"/>
            <w:vMerge w:val="continue"/>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7"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018" w:type="pct"/>
            <w:vMerge w:val="continue"/>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5" w:type="pct"/>
            <w:gridSpan w:val="2"/>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c>
          <w:tcPr>
            <w:tcW w:w="997"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atLeast"/>
        </w:trPr>
        <w:tc>
          <w:tcPr>
            <w:tcW w:w="1018" w:type="pct"/>
            <w:noWrap w:val="0"/>
            <w:vAlign w:val="center"/>
          </w:tcPr>
          <w:p>
            <w:pPr>
              <w:pStyle w:val="25"/>
              <w:adjustRightInd w:val="0"/>
              <w:snapToGrid w:val="0"/>
              <w:spacing w:line="360" w:lineRule="auto"/>
              <w:jc w:val="center"/>
              <w:rPr>
                <w:rFonts w:ascii="宋体" w:hAnsi="宋体" w:eastAsia="宋体"/>
                <w:snapToGrid w:val="0"/>
                <w:color w:val="auto"/>
                <w:szCs w:val="21"/>
                <w:highlight w:val="none"/>
              </w:rPr>
            </w:pPr>
            <w:r>
              <w:rPr>
                <w:rFonts w:hint="eastAsia" w:ascii="宋体" w:hAnsi="宋体" w:eastAsia="宋体"/>
                <w:snapToGrid w:val="0"/>
                <w:color w:val="auto"/>
                <w:szCs w:val="21"/>
                <w:highlight w:val="none"/>
              </w:rPr>
              <w:t>企业简介</w:t>
            </w:r>
          </w:p>
        </w:tc>
        <w:tc>
          <w:tcPr>
            <w:tcW w:w="3982" w:type="pct"/>
            <w:gridSpan w:val="6"/>
            <w:noWrap w:val="0"/>
            <w:vAlign w:val="center"/>
          </w:tcPr>
          <w:p>
            <w:pPr>
              <w:spacing w:line="360" w:lineRule="auto"/>
              <w:rPr>
                <w:rFonts w:ascii="宋体" w:hAnsi="宋体" w:eastAsia="宋体"/>
                <w:color w:val="auto"/>
                <w:szCs w:val="21"/>
                <w:highlight w:val="none"/>
              </w:rPr>
            </w:pPr>
          </w:p>
        </w:tc>
      </w:tr>
    </w:tbl>
    <w:p>
      <w:pPr>
        <w:spacing w:line="360" w:lineRule="auto"/>
        <w:rPr>
          <w:rFonts w:ascii="宋体" w:hAnsi="宋体"/>
          <w:color w:val="auto"/>
          <w:sz w:val="22"/>
          <w:szCs w:val="22"/>
          <w:highlight w:val="none"/>
        </w:rPr>
      </w:pPr>
    </w:p>
    <w:p>
      <w:pPr>
        <w:pStyle w:val="99"/>
        <w:spacing w:before="624" w:beforeLines="200" w:line="480" w:lineRule="auto"/>
        <w:ind w:firstLine="0" w:firstLineChars="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480" w:lineRule="auto"/>
        <w:ind w:firstLine="0" w:firstLineChars="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u w:val="single"/>
        </w:rPr>
        <w:t xml:space="preserve">     年        月         日</w:t>
      </w:r>
    </w:p>
    <w:bookmarkEnd w:id="233"/>
    <w:bookmarkEnd w:id="234"/>
    <w:bookmarkEnd w:id="235"/>
    <w:bookmarkEnd w:id="236"/>
    <w:bookmarkEnd w:id="237"/>
    <w:p>
      <w:pPr>
        <w:spacing w:line="360" w:lineRule="auto"/>
        <w:rPr>
          <w:rFonts w:ascii="宋体" w:hAnsi="宋体"/>
          <w:color w:val="auto"/>
          <w:sz w:val="22"/>
          <w:szCs w:val="22"/>
          <w:highlight w:val="none"/>
        </w:rPr>
      </w:pPr>
    </w:p>
    <w:p>
      <w:pPr>
        <w:pStyle w:val="5"/>
        <w:spacing w:line="360" w:lineRule="auto"/>
        <w:jc w:val="both"/>
        <w:rPr>
          <w:rFonts w:ascii="宋体" w:hAnsi="宋体"/>
          <w:color w:val="auto"/>
          <w:sz w:val="22"/>
          <w:szCs w:val="22"/>
          <w:highlight w:val="none"/>
        </w:rPr>
      </w:pPr>
      <w:bookmarkStart w:id="239" w:name="_Toc395863124"/>
      <w:bookmarkStart w:id="240" w:name="_Toc61529876"/>
      <w:bookmarkStart w:id="241" w:name="_Toc441844122"/>
      <w:bookmarkStart w:id="242" w:name="_Toc321994784"/>
      <w:bookmarkStart w:id="243" w:name="_Toc427232353"/>
      <w:bookmarkStart w:id="244" w:name="_Toc326689519"/>
      <w:bookmarkStart w:id="245" w:name="_Toc401738105"/>
    </w:p>
    <w:p>
      <w:pPr>
        <w:pStyle w:val="5"/>
        <w:spacing w:line="360" w:lineRule="auto"/>
        <w:jc w:val="center"/>
        <w:rPr>
          <w:rFonts w:ascii="宋体" w:hAnsi="宋体"/>
          <w:color w:val="auto"/>
          <w:sz w:val="24"/>
          <w:szCs w:val="24"/>
          <w:highlight w:val="none"/>
        </w:rPr>
      </w:pPr>
      <w:r>
        <w:rPr>
          <w:rFonts w:ascii="宋体" w:hAnsi="宋体"/>
          <w:color w:val="auto"/>
          <w:sz w:val="24"/>
          <w:szCs w:val="24"/>
          <w:highlight w:val="none"/>
        </w:rPr>
        <w:t>7、投标人资格证明文件</w:t>
      </w:r>
      <w:bookmarkEnd w:id="223"/>
      <w:bookmarkEnd w:id="224"/>
      <w:bookmarkEnd w:id="239"/>
      <w:bookmarkEnd w:id="240"/>
      <w:bookmarkEnd w:id="241"/>
      <w:bookmarkEnd w:id="242"/>
      <w:bookmarkEnd w:id="243"/>
      <w:bookmarkEnd w:id="244"/>
      <w:bookmarkEnd w:id="245"/>
    </w:p>
    <w:p>
      <w:pPr>
        <w:spacing w:line="360" w:lineRule="auto"/>
        <w:jc w:val="center"/>
        <w:rPr>
          <w:rFonts w:ascii="宋体" w:hAnsi="宋体"/>
          <w:b/>
          <w:color w:val="auto"/>
          <w:sz w:val="22"/>
          <w:szCs w:val="22"/>
          <w:highlight w:val="none"/>
        </w:rPr>
      </w:pPr>
    </w:p>
    <w:p>
      <w:pPr>
        <w:pStyle w:val="25"/>
        <w:spacing w:line="360" w:lineRule="auto"/>
        <w:ind w:firstLine="442" w:firstLineChars="200"/>
        <w:rPr>
          <w:rFonts w:hint="eastAsia" w:hAnsi="宋体" w:cs="Times New Roman"/>
          <w:b/>
          <w:color w:val="auto"/>
          <w:sz w:val="22"/>
          <w:highlight w:val="none"/>
        </w:rPr>
      </w:pPr>
      <w:r>
        <w:rPr>
          <w:rFonts w:hint="eastAsia" w:hAnsi="宋体" w:cs="Times New Roman"/>
          <w:b/>
          <w:color w:val="auto"/>
          <w:sz w:val="22"/>
          <w:highlight w:val="none"/>
        </w:rPr>
        <w:t>投标人资格证明文件请按招标文件投标须知1</w:t>
      </w:r>
      <w:r>
        <w:rPr>
          <w:rFonts w:hAnsi="宋体" w:cs="Times New Roman"/>
          <w:b/>
          <w:color w:val="auto"/>
          <w:sz w:val="22"/>
          <w:highlight w:val="none"/>
        </w:rPr>
        <w:t>1.</w:t>
      </w:r>
      <w:r>
        <w:rPr>
          <w:rFonts w:hint="eastAsia" w:hAnsi="宋体" w:cs="Times New Roman"/>
          <w:b/>
          <w:color w:val="auto"/>
          <w:sz w:val="22"/>
          <w:highlight w:val="none"/>
        </w:rPr>
        <w:t>投标文件构成所要求文件提供。</w:t>
      </w:r>
    </w:p>
    <w:p>
      <w:pPr>
        <w:pStyle w:val="25"/>
        <w:spacing w:line="360" w:lineRule="auto"/>
        <w:ind w:firstLine="442" w:firstLineChars="200"/>
        <w:rPr>
          <w:rFonts w:hint="eastAsia" w:hAnsi="宋体" w:cs="Times New Roman"/>
          <w:b/>
          <w:color w:val="auto"/>
          <w:sz w:val="22"/>
          <w:highlight w:val="none"/>
        </w:rPr>
      </w:pPr>
    </w:p>
    <w:p>
      <w:pPr>
        <w:pStyle w:val="99"/>
        <w:spacing w:line="560" w:lineRule="exact"/>
        <w:ind w:firstLine="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1．必要资格证明材料</w:t>
      </w:r>
    </w:p>
    <w:p>
      <w:pPr>
        <w:pStyle w:val="286"/>
        <w:spacing w:line="560" w:lineRule="exact"/>
        <w:ind w:firstLine="42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营业执照、税务登记证和组织机构代码证复印件（如是“三证合一”或“五证合一”的营业执照，则不需要提供税务登记证和组织机构代码证），法定代表人证明书及身份证复印件、法人授权委托证明书及受托人人身份证复印件；</w:t>
      </w:r>
    </w:p>
    <w:p>
      <w:pPr>
        <w:pStyle w:val="286"/>
        <w:spacing w:line="560" w:lineRule="exact"/>
        <w:ind w:firstLine="42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1.2资质证书等。</w:t>
      </w:r>
    </w:p>
    <w:p>
      <w:pPr>
        <w:pStyle w:val="99"/>
        <w:spacing w:line="560" w:lineRule="exact"/>
        <w:ind w:firstLine="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2．其他证明材料</w:t>
      </w:r>
    </w:p>
    <w:p>
      <w:pPr>
        <w:pStyle w:val="99"/>
        <w:spacing w:line="560" w:lineRule="exact"/>
        <w:ind w:firstLine="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2.1投标人基本情况；</w:t>
      </w:r>
    </w:p>
    <w:p>
      <w:pPr>
        <w:pStyle w:val="25"/>
        <w:spacing w:line="5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2.2能够证明投标人已具备履行合同所需的人力、物力、财力和技术能力等的证明材料。</w:t>
      </w:r>
    </w:p>
    <w:p>
      <w:pPr>
        <w:pStyle w:val="25"/>
        <w:spacing w:line="360" w:lineRule="auto"/>
        <w:ind w:firstLine="440" w:firstLineChars="200"/>
        <w:rPr>
          <w:rFonts w:hint="eastAsia" w:hAnsi="宋体" w:cs="Times New Roman"/>
          <w:color w:val="auto"/>
          <w:sz w:val="22"/>
          <w:highlight w:val="none"/>
        </w:rPr>
      </w:pPr>
    </w:p>
    <w:p>
      <w:pPr>
        <w:pStyle w:val="25"/>
        <w:spacing w:line="360" w:lineRule="auto"/>
        <w:ind w:firstLine="440" w:firstLineChars="200"/>
        <w:rPr>
          <w:rFonts w:hAnsi="宋体" w:cs="Times New Roman"/>
          <w:color w:val="auto"/>
          <w:sz w:val="22"/>
          <w:highlight w:val="none"/>
        </w:rPr>
      </w:pPr>
      <w:r>
        <w:rPr>
          <w:rFonts w:hint="eastAsia" w:hAnsi="宋体" w:cs="Times New Roman"/>
          <w:color w:val="auto"/>
          <w:sz w:val="22"/>
          <w:highlight w:val="none"/>
        </w:rPr>
        <w:t>注：</w:t>
      </w:r>
      <w:r>
        <w:rPr>
          <w:rFonts w:hAnsi="宋体" w:cs="Times New Roman"/>
          <w:color w:val="auto"/>
          <w:sz w:val="22"/>
          <w:highlight w:val="none"/>
        </w:rPr>
        <w:t>若投标人提供虚假信息的，将按省市及</w:t>
      </w:r>
      <w:r>
        <w:rPr>
          <w:rFonts w:hint="eastAsia" w:hAnsi="宋体" w:cs="Times New Roman"/>
          <w:color w:val="auto"/>
          <w:sz w:val="22"/>
          <w:highlight w:val="none"/>
        </w:rPr>
        <w:t>东莞市轨道交通有限公司</w:t>
      </w:r>
      <w:r>
        <w:rPr>
          <w:rFonts w:hAnsi="宋体" w:cs="Times New Roman"/>
          <w:color w:val="auto"/>
          <w:sz w:val="22"/>
          <w:highlight w:val="none"/>
        </w:rPr>
        <w:t>采购管理办法相关规定严肃处理。</w:t>
      </w:r>
    </w:p>
    <w:p>
      <w:pPr>
        <w:pStyle w:val="25"/>
        <w:spacing w:line="360" w:lineRule="auto"/>
        <w:ind w:firstLine="442" w:firstLineChars="200"/>
        <w:rPr>
          <w:rFonts w:hAnsi="宋体" w:cs="Times New Roman"/>
          <w:b/>
          <w:bCs/>
          <w:color w:val="auto"/>
          <w:sz w:val="22"/>
          <w:highlight w:val="none"/>
        </w:rPr>
      </w:pPr>
    </w:p>
    <w:p>
      <w:pPr>
        <w:pStyle w:val="25"/>
        <w:spacing w:line="360" w:lineRule="auto"/>
        <w:jc w:val="center"/>
        <w:rPr>
          <w:rFonts w:hAnsi="宋体" w:cs="Times New Roman"/>
          <w:b/>
          <w:bCs/>
          <w:color w:val="auto"/>
          <w:sz w:val="22"/>
          <w:highlight w:val="none"/>
        </w:rPr>
      </w:pPr>
    </w:p>
    <w:p>
      <w:pPr>
        <w:pStyle w:val="25"/>
        <w:spacing w:line="360" w:lineRule="auto"/>
        <w:jc w:val="center"/>
        <w:rPr>
          <w:rFonts w:hAnsi="宋体" w:cs="Times New Roman"/>
          <w:b/>
          <w:bCs/>
          <w:color w:val="auto"/>
          <w:sz w:val="22"/>
          <w:highlight w:val="none"/>
        </w:rPr>
      </w:pPr>
    </w:p>
    <w:p>
      <w:pPr>
        <w:spacing w:line="560" w:lineRule="exact"/>
        <w:rPr>
          <w:rFonts w:ascii="Times New Roman" w:hAnsi="Times New Roman"/>
          <w:b/>
          <w:color w:val="auto"/>
          <w:sz w:val="24"/>
          <w:highlight w:val="none"/>
        </w:rPr>
      </w:pPr>
    </w:p>
    <w:p>
      <w:pPr>
        <w:spacing w:line="560" w:lineRule="exact"/>
        <w:jc w:val="center"/>
        <w:rPr>
          <w:rFonts w:ascii="Times New Roman" w:hAnsi="Times New Roman"/>
          <w:b/>
          <w:color w:val="auto"/>
          <w:sz w:val="24"/>
          <w:highlight w:val="none"/>
        </w:rPr>
      </w:pPr>
    </w:p>
    <w:p>
      <w:pPr>
        <w:widowControl/>
        <w:jc w:val="left"/>
        <w:rPr>
          <w:rFonts w:ascii="Times New Roman" w:hAnsi="Times New Roman"/>
          <w:b/>
          <w:bCs/>
          <w:color w:val="auto"/>
          <w:sz w:val="24"/>
          <w:szCs w:val="32"/>
          <w:highlight w:val="none"/>
        </w:rPr>
      </w:pPr>
      <w:bookmarkStart w:id="246" w:name="_Toc441844123"/>
      <w:r>
        <w:rPr>
          <w:rFonts w:ascii="Times New Roman" w:hAnsi="Times New Roman"/>
          <w:color w:val="auto"/>
          <w:sz w:val="24"/>
          <w:highlight w:val="none"/>
        </w:rPr>
        <w:br w:type="page"/>
      </w:r>
    </w:p>
    <w:p>
      <w:pPr>
        <w:pStyle w:val="5"/>
        <w:spacing w:line="360" w:lineRule="auto"/>
        <w:jc w:val="center"/>
        <w:rPr>
          <w:rFonts w:ascii="宋体" w:hAnsi="宋体"/>
          <w:color w:val="auto"/>
          <w:sz w:val="24"/>
          <w:szCs w:val="24"/>
          <w:highlight w:val="none"/>
        </w:rPr>
      </w:pPr>
      <w:bookmarkStart w:id="247" w:name="_Toc61529877"/>
      <w:r>
        <w:rPr>
          <w:rFonts w:ascii="宋体" w:hAnsi="宋体"/>
          <w:color w:val="auto"/>
          <w:sz w:val="24"/>
          <w:szCs w:val="24"/>
          <w:highlight w:val="none"/>
        </w:rPr>
        <w:t>8、</w:t>
      </w:r>
      <w:bookmarkEnd w:id="246"/>
      <w:r>
        <w:rPr>
          <w:rFonts w:hint="eastAsia" w:ascii="宋体" w:hAnsi="宋体"/>
          <w:color w:val="auto"/>
          <w:sz w:val="24"/>
          <w:szCs w:val="24"/>
          <w:highlight w:val="none"/>
        </w:rPr>
        <w:t>投标人承诺</w:t>
      </w:r>
      <w:bookmarkEnd w:id="247"/>
    </w:p>
    <w:p>
      <w:pPr>
        <w:spacing w:line="360" w:lineRule="auto"/>
        <w:jc w:val="center"/>
        <w:rPr>
          <w:rFonts w:ascii="宋体" w:hAnsi="宋体"/>
          <w:b/>
          <w:bCs/>
          <w:color w:val="auto"/>
          <w:sz w:val="22"/>
          <w:szCs w:val="22"/>
          <w:highlight w:val="none"/>
          <w:lang w:val="zh-CN"/>
        </w:rPr>
      </w:pPr>
      <w:r>
        <w:rPr>
          <w:rFonts w:hint="eastAsia" w:ascii="宋体" w:hAnsi="宋体"/>
          <w:b/>
          <w:bCs/>
          <w:color w:val="auto"/>
          <w:sz w:val="22"/>
          <w:szCs w:val="22"/>
          <w:highlight w:val="none"/>
          <w:lang w:val="zh-CN"/>
        </w:rPr>
        <w:t>8</w:t>
      </w:r>
      <w:r>
        <w:rPr>
          <w:rFonts w:ascii="宋体" w:hAnsi="宋体"/>
          <w:b/>
          <w:bCs/>
          <w:color w:val="auto"/>
          <w:sz w:val="22"/>
          <w:szCs w:val="22"/>
          <w:highlight w:val="none"/>
          <w:lang w:val="zh-CN"/>
        </w:rPr>
        <w:t>.1</w:t>
      </w:r>
      <w:r>
        <w:rPr>
          <w:rFonts w:hint="eastAsia" w:ascii="宋体" w:hAnsi="宋体"/>
          <w:b/>
          <w:bCs/>
          <w:color w:val="auto"/>
          <w:sz w:val="22"/>
          <w:szCs w:val="22"/>
          <w:highlight w:val="none"/>
          <w:lang w:val="zh-CN"/>
        </w:rPr>
        <w:t>投标人资格承诺</w:t>
      </w:r>
    </w:p>
    <w:tbl>
      <w:tblPr>
        <w:tblStyle w:val="51"/>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2"/>
        <w:gridCol w:w="1017"/>
        <w:gridCol w:w="203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        事项</w:t>
            </w:r>
            <w:r>
              <w:rPr>
                <w:rFonts w:hint="eastAsia" w:ascii="宋体" w:hAnsi="宋体"/>
                <w:color w:val="auto"/>
                <w:sz w:val="22"/>
                <w:szCs w:val="22"/>
                <w:highlight w:val="none"/>
                <w:shd w:val="clear" w:color="auto" w:fill="FFFFFF"/>
              </w:rPr>
              <w:t>名称</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认定时间</w:t>
            </w:r>
          </w:p>
        </w:tc>
        <w:tc>
          <w:tcPr>
            <w:tcW w:w="1131" w:type="pct"/>
            <w:noWrap w:val="0"/>
            <w:vAlign w:val="top"/>
          </w:tcPr>
          <w:p>
            <w:pPr>
              <w:spacing w:line="360" w:lineRule="auto"/>
              <w:jc w:val="center"/>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处罚期届满</w:t>
            </w:r>
            <w:r>
              <w:rPr>
                <w:rFonts w:ascii="宋体" w:hAnsi="宋体"/>
                <w:color w:val="auto"/>
                <w:sz w:val="22"/>
                <w:szCs w:val="22"/>
                <w:highlight w:val="none"/>
                <w:shd w:val="clear" w:color="auto" w:fill="FFFFFF"/>
              </w:rPr>
              <w:t>/异常名录信息失效时间</w:t>
            </w: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是否被</w:t>
            </w:r>
            <w:r>
              <w:rPr>
                <w:rFonts w:ascii="宋体" w:hAnsi="宋体"/>
                <w:color w:val="auto"/>
                <w:sz w:val="22"/>
                <w:szCs w:val="22"/>
                <w:highlight w:val="none"/>
                <w:shd w:val="clear" w:color="auto" w:fill="FFFFFF"/>
              </w:rPr>
              <w:t>列入“</w:t>
            </w:r>
            <w:r>
              <w:rPr>
                <w:rFonts w:hint="eastAsia" w:ascii="宋体" w:hAnsi="宋体"/>
                <w:color w:val="auto"/>
                <w:sz w:val="22"/>
                <w:szCs w:val="22"/>
                <w:highlight w:val="none"/>
                <w:shd w:val="clear" w:color="auto" w:fill="FFFFFF"/>
              </w:rPr>
              <w:t>中国</w:t>
            </w:r>
            <w:r>
              <w:rPr>
                <w:rFonts w:ascii="宋体" w:hAnsi="宋体"/>
                <w:color w:val="auto"/>
                <w:sz w:val="22"/>
                <w:szCs w:val="22"/>
                <w:highlight w:val="none"/>
                <w:shd w:val="clear" w:color="auto" w:fill="FFFFFF"/>
              </w:rPr>
              <w:t>执行信息公开网”</w:t>
            </w:r>
            <w:r>
              <w:rPr>
                <w:rFonts w:hint="eastAsia" w:ascii="宋体" w:hAnsi="宋体"/>
                <w:color w:val="auto"/>
                <w:sz w:val="22"/>
                <w:szCs w:val="22"/>
                <w:highlight w:val="none"/>
                <w:shd w:val="clear" w:color="auto" w:fill="FFFFFF"/>
              </w:rPr>
              <w:t>被认定为失信被执行人</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是否被认定为重大税收违法案件当事人名单</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是否被认定为严重违法失信行为记录名单</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有无受各级管理部门的处罚</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是否存在大额诉讼或多宗诉讼或其他违法、违约等影响本次招标项目正常履行的情况</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w:t>
            </w:r>
            <w:r>
              <w:rPr>
                <w:rFonts w:ascii="宋体" w:hAnsi="宋体"/>
                <w:color w:val="auto"/>
                <w:sz w:val="22"/>
                <w:szCs w:val="22"/>
                <w:highlight w:val="none"/>
                <w:shd w:val="clear" w:color="auto" w:fill="FFFFFF"/>
              </w:rPr>
              <w:t>存在</w:t>
            </w:r>
            <w:r>
              <w:rPr>
                <w:rFonts w:hint="eastAsia" w:ascii="宋体" w:hAnsi="宋体"/>
                <w:color w:val="auto"/>
                <w:sz w:val="22"/>
                <w:szCs w:val="22"/>
                <w:highlight w:val="none"/>
                <w:shd w:val="clear" w:color="auto" w:fill="FFFFFF"/>
              </w:rPr>
              <w:t>与东莞市交通投资集团有限公司及其下属企业在签订合同的履约过程中，因投标人或其关联公司严重违约而致使合同变更、中止、解除的</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是否正在与东莞市交通投资集团有限公司及其下属企业发生诉讼</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28" w:type="pct"/>
            <w:noWrap w:val="0"/>
            <w:vAlign w:val="center"/>
          </w:tcPr>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是否存在法院判决或仲裁裁决认定投标人或其关联公司在与东莞市交通投资集团有限公司及其下属企业履约过程中存在违约责任或过失责任</w:t>
            </w:r>
          </w:p>
        </w:tc>
        <w:tc>
          <w:tcPr>
            <w:tcW w:w="566" w:type="pct"/>
            <w:noWrap w:val="0"/>
            <w:vAlign w:val="center"/>
          </w:tcPr>
          <w:p>
            <w:pPr>
              <w:spacing w:line="360" w:lineRule="auto"/>
              <w:jc w:val="center"/>
              <w:rPr>
                <w:rFonts w:ascii="宋体" w:hAnsi="宋体"/>
                <w:color w:val="auto"/>
                <w:sz w:val="22"/>
                <w:szCs w:val="22"/>
                <w:highlight w:val="none"/>
                <w:shd w:val="clear" w:color="auto" w:fill="FFFFFF"/>
              </w:rPr>
            </w:pPr>
          </w:p>
        </w:tc>
        <w:tc>
          <w:tcPr>
            <w:tcW w:w="1131" w:type="pct"/>
            <w:noWrap w:val="0"/>
            <w:vAlign w:val="center"/>
          </w:tcPr>
          <w:p>
            <w:pPr>
              <w:spacing w:line="360" w:lineRule="auto"/>
              <w:jc w:val="center"/>
              <w:rPr>
                <w:rFonts w:ascii="宋体" w:hAnsi="宋体"/>
                <w:color w:val="auto"/>
                <w:sz w:val="22"/>
                <w:szCs w:val="22"/>
                <w:highlight w:val="none"/>
                <w:shd w:val="clear" w:color="auto" w:fill="FFFFFF"/>
              </w:rPr>
            </w:pPr>
          </w:p>
        </w:tc>
        <w:tc>
          <w:tcPr>
            <w:tcW w:w="475" w:type="pct"/>
            <w:noWrap w:val="0"/>
            <w:vAlign w:val="center"/>
          </w:tcPr>
          <w:p>
            <w:pPr>
              <w:spacing w:line="360" w:lineRule="auto"/>
              <w:jc w:val="center"/>
              <w:rPr>
                <w:rFonts w:ascii="宋体" w:hAnsi="宋体"/>
                <w:color w:val="auto"/>
                <w:sz w:val="22"/>
                <w:szCs w:val="22"/>
                <w:highlight w:val="none"/>
                <w:shd w:val="clear" w:color="auto" w:fill="FFFFFF"/>
              </w:rPr>
            </w:pPr>
          </w:p>
        </w:tc>
      </w:tr>
    </w:tbl>
    <w:p>
      <w:pPr>
        <w:spacing w:line="360" w:lineRule="auto"/>
        <w:rPr>
          <w:rFonts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注：</w:t>
      </w:r>
    </w:p>
    <w:p>
      <w:pPr>
        <w:spacing w:line="360" w:lineRule="auto"/>
        <w:ind w:left="284" w:hanging="283" w:hangingChars="129"/>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1.</w:t>
      </w:r>
      <w:r>
        <w:rPr>
          <w:rFonts w:hint="eastAsia" w:ascii="宋体" w:hAnsi="宋体"/>
          <w:color w:val="auto"/>
          <w:sz w:val="22"/>
          <w:szCs w:val="22"/>
          <w:highlight w:val="none"/>
          <w:shd w:val="clear" w:color="auto" w:fill="FFFFFF"/>
        </w:rPr>
        <w:t>根据投标人及其不具有独立法人资格的分支机构的实际情况自行编写，无相关事项的，在</w:t>
      </w:r>
      <w:r>
        <w:rPr>
          <w:rFonts w:ascii="宋体" w:hAnsi="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rPr>
        <w:t>“认定时间”列填“无”；</w:t>
      </w:r>
    </w:p>
    <w:p>
      <w:pPr>
        <w:spacing w:line="360" w:lineRule="auto"/>
        <w:ind w:left="284" w:hanging="283" w:hangingChars="129"/>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2.</w:t>
      </w:r>
      <w:r>
        <w:rPr>
          <w:rFonts w:hint="eastAsia" w:ascii="宋体" w:hAnsi="宋体"/>
          <w:color w:val="auto"/>
          <w:sz w:val="22"/>
          <w:szCs w:val="22"/>
          <w:highlight w:val="none"/>
          <w:shd w:val="clear" w:color="auto" w:fill="FFFFFF"/>
        </w:rPr>
        <w:t>若受到相关处罚的应附处罚相关材料复印件，发生经济诉讼或纠纷的应附法院判决书、仲裁决议等相关材料复印件（未完结</w:t>
      </w:r>
      <w:r>
        <w:rPr>
          <w:rFonts w:ascii="宋体" w:hAnsi="宋体"/>
          <w:color w:val="auto"/>
          <w:sz w:val="22"/>
          <w:szCs w:val="22"/>
          <w:highlight w:val="none"/>
          <w:shd w:val="clear" w:color="auto" w:fill="FFFFFF"/>
        </w:rPr>
        <w:t>的诉讼或纠纷除外</w:t>
      </w:r>
      <w:r>
        <w:rPr>
          <w:rFonts w:hint="eastAsia" w:ascii="宋体" w:hAnsi="宋体"/>
          <w:color w:val="auto"/>
          <w:sz w:val="22"/>
          <w:szCs w:val="22"/>
          <w:highlight w:val="none"/>
          <w:shd w:val="clear" w:color="auto" w:fill="FFFFFF"/>
        </w:rPr>
        <w:t>）；</w:t>
      </w:r>
    </w:p>
    <w:p>
      <w:pPr>
        <w:spacing w:line="360" w:lineRule="auto"/>
        <w:ind w:left="284" w:hanging="283" w:hangingChars="129"/>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3.</w:t>
      </w:r>
      <w:r>
        <w:rPr>
          <w:rFonts w:hint="eastAsia" w:ascii="宋体" w:hAnsi="宋体"/>
          <w:color w:val="auto"/>
          <w:sz w:val="22"/>
          <w:szCs w:val="22"/>
          <w:highlight w:val="none"/>
          <w:shd w:val="clear" w:color="auto" w:fill="FFFFFF"/>
        </w:rPr>
        <w:t>如相关异常名录信息已失效，投标人需提供相关证明资料；</w:t>
      </w:r>
    </w:p>
    <w:p>
      <w:pPr>
        <w:spacing w:line="360" w:lineRule="auto"/>
        <w:ind w:left="284" w:hanging="283" w:hangingChars="129"/>
        <w:rPr>
          <w:rFonts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4.投标人须按</w:t>
      </w:r>
      <w:r>
        <w:rPr>
          <w:rFonts w:hint="eastAsia" w:ascii="宋体" w:hAnsi="宋体"/>
          <w:color w:val="auto"/>
          <w:sz w:val="22"/>
          <w:szCs w:val="22"/>
          <w:highlight w:val="none"/>
          <w:shd w:val="clear" w:color="auto" w:fill="FFFFFF"/>
        </w:rPr>
        <w:t>其</w:t>
      </w:r>
      <w:r>
        <w:rPr>
          <w:rFonts w:ascii="宋体" w:hAnsi="宋体"/>
          <w:color w:val="auto"/>
          <w:sz w:val="22"/>
          <w:szCs w:val="22"/>
          <w:highlight w:val="none"/>
          <w:shd w:val="clear" w:color="auto" w:fill="FFFFFF"/>
        </w:rPr>
        <w:t>实际情况如实填写上述承诺事宜，招标人及</w:t>
      </w:r>
      <w:r>
        <w:rPr>
          <w:rFonts w:hint="eastAsia" w:ascii="宋体" w:hAnsi="宋体"/>
          <w:color w:val="auto"/>
          <w:sz w:val="22"/>
          <w:szCs w:val="22"/>
          <w:highlight w:val="none"/>
          <w:shd w:val="clear" w:color="auto" w:fill="FFFFFF"/>
        </w:rPr>
        <w:t>招标</w:t>
      </w:r>
      <w:r>
        <w:rPr>
          <w:rFonts w:ascii="宋体" w:hAnsi="宋体"/>
          <w:color w:val="auto"/>
          <w:sz w:val="22"/>
          <w:szCs w:val="22"/>
          <w:highlight w:val="none"/>
          <w:shd w:val="clear" w:color="auto" w:fill="FFFFFF"/>
        </w:rPr>
        <w:t>代理机构有权在开标</w:t>
      </w:r>
      <w:r>
        <w:rPr>
          <w:rFonts w:hint="eastAsia" w:ascii="宋体" w:hAnsi="宋体"/>
          <w:color w:val="auto"/>
          <w:sz w:val="22"/>
          <w:szCs w:val="22"/>
          <w:highlight w:val="none"/>
          <w:shd w:val="clear" w:color="auto" w:fill="FFFFFF"/>
        </w:rPr>
        <w:t>后</w:t>
      </w:r>
      <w:r>
        <w:rPr>
          <w:rFonts w:ascii="宋体" w:hAnsi="宋体"/>
          <w:color w:val="auto"/>
          <w:sz w:val="22"/>
          <w:szCs w:val="22"/>
          <w:highlight w:val="none"/>
          <w:shd w:val="clear" w:color="auto" w:fill="FFFFFF"/>
        </w:rPr>
        <w:t>对投标人的上述承诺进行逐一核实，如发现投标人存在</w:t>
      </w:r>
      <w:r>
        <w:rPr>
          <w:rFonts w:hint="eastAsia" w:ascii="宋体" w:hAnsi="宋体"/>
          <w:color w:val="auto"/>
          <w:sz w:val="22"/>
          <w:szCs w:val="22"/>
          <w:highlight w:val="none"/>
          <w:shd w:val="clear" w:color="auto" w:fill="FFFFFF"/>
        </w:rPr>
        <w:t>虚报</w:t>
      </w:r>
      <w:r>
        <w:rPr>
          <w:rFonts w:ascii="宋体" w:hAnsi="宋体"/>
          <w:color w:val="auto"/>
          <w:sz w:val="22"/>
          <w:szCs w:val="22"/>
          <w:highlight w:val="none"/>
          <w:shd w:val="clear" w:color="auto" w:fill="FFFFFF"/>
        </w:rPr>
        <w:t>、瞒报等情况，将取消</w:t>
      </w:r>
      <w:r>
        <w:rPr>
          <w:rFonts w:hint="eastAsia" w:ascii="宋体" w:hAnsi="宋体"/>
          <w:color w:val="auto"/>
          <w:sz w:val="22"/>
          <w:szCs w:val="22"/>
          <w:highlight w:val="none"/>
          <w:shd w:val="clear" w:color="auto" w:fill="FFFFFF"/>
        </w:rPr>
        <w:t>其</w:t>
      </w:r>
      <w:r>
        <w:rPr>
          <w:rFonts w:ascii="宋体" w:hAnsi="宋体"/>
          <w:color w:val="auto"/>
          <w:sz w:val="22"/>
          <w:szCs w:val="22"/>
          <w:highlight w:val="none"/>
          <w:shd w:val="clear" w:color="auto" w:fill="FFFFFF"/>
        </w:rPr>
        <w:t>中标资格。</w:t>
      </w:r>
    </w:p>
    <w:p>
      <w:pPr>
        <w:pStyle w:val="99"/>
        <w:spacing w:before="624" w:beforeLines="200" w:line="480" w:lineRule="auto"/>
        <w:ind w:firstLine="4515" w:firstLineChars="215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480" w:lineRule="auto"/>
        <w:ind w:firstLine="4515" w:firstLineChars="215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u w:val="single"/>
        </w:rPr>
        <w:t xml:space="preserve">     年        月         日</w:t>
      </w:r>
    </w:p>
    <w:p>
      <w:pPr>
        <w:widowControl/>
        <w:jc w:val="left"/>
        <w:rPr>
          <w:rFonts w:ascii="宋体" w:hAnsi="宋体" w:eastAsia="宋体"/>
          <w:color w:val="auto"/>
          <w:szCs w:val="21"/>
          <w:highlight w:val="none"/>
          <w:u w:val="single"/>
        </w:rPr>
      </w:pPr>
    </w:p>
    <w:p>
      <w:pPr>
        <w:widowControl/>
        <w:jc w:val="left"/>
        <w:rPr>
          <w:rFonts w:ascii="宋体" w:hAnsi="宋体"/>
          <w:b/>
          <w:bCs/>
          <w:color w:val="auto"/>
          <w:sz w:val="22"/>
          <w:szCs w:val="22"/>
          <w:highlight w:val="none"/>
          <w:lang w:val="zh-CN"/>
        </w:rPr>
      </w:pPr>
      <w:r>
        <w:rPr>
          <w:rFonts w:ascii="宋体" w:hAnsi="宋体"/>
          <w:b/>
          <w:bCs/>
          <w:color w:val="auto"/>
          <w:sz w:val="22"/>
          <w:szCs w:val="22"/>
          <w:highlight w:val="none"/>
          <w:lang w:val="zh-CN"/>
        </w:rPr>
        <w:br w:type="page"/>
      </w:r>
    </w:p>
    <w:p>
      <w:pPr>
        <w:spacing w:line="360" w:lineRule="auto"/>
        <w:jc w:val="center"/>
        <w:rPr>
          <w:rFonts w:ascii="宋体" w:hAnsi="宋体"/>
          <w:b/>
          <w:bCs/>
          <w:color w:val="auto"/>
          <w:sz w:val="24"/>
          <w:szCs w:val="24"/>
          <w:highlight w:val="none"/>
          <w:lang w:val="zh-CN"/>
        </w:rPr>
      </w:pPr>
      <w:r>
        <w:rPr>
          <w:rFonts w:ascii="宋体" w:hAnsi="宋体"/>
          <w:b/>
          <w:bCs/>
          <w:color w:val="auto"/>
          <w:sz w:val="24"/>
          <w:szCs w:val="24"/>
          <w:highlight w:val="none"/>
          <w:lang w:val="zh-CN"/>
        </w:rPr>
        <w:t>8.2</w:t>
      </w:r>
      <w:r>
        <w:rPr>
          <w:rFonts w:hint="eastAsia" w:ascii="宋体" w:hAnsi="宋体"/>
          <w:b/>
          <w:bCs/>
          <w:color w:val="auto"/>
          <w:sz w:val="24"/>
          <w:szCs w:val="24"/>
          <w:highlight w:val="none"/>
          <w:lang w:val="zh-CN"/>
        </w:rPr>
        <w:t>其他承诺（如有）</w:t>
      </w:r>
    </w:p>
    <w:p>
      <w:pPr>
        <w:spacing w:line="360" w:lineRule="auto"/>
        <w:jc w:val="center"/>
        <w:rPr>
          <w:rFonts w:ascii="宋体" w:hAnsi="宋体"/>
          <w:bCs/>
          <w:color w:val="auto"/>
          <w:sz w:val="22"/>
          <w:szCs w:val="22"/>
          <w:highlight w:val="none"/>
        </w:rPr>
      </w:pPr>
      <w:r>
        <w:rPr>
          <w:rFonts w:hint="eastAsia" w:ascii="宋体" w:hAnsi="宋体"/>
          <w:b/>
          <w:bCs/>
          <w:color w:val="auto"/>
          <w:sz w:val="22"/>
          <w:szCs w:val="22"/>
          <w:highlight w:val="none"/>
          <w:lang w:val="zh-CN"/>
        </w:rPr>
        <w:t>（格式由投标人自定义）</w:t>
      </w:r>
    </w:p>
    <w:p>
      <w:pPr>
        <w:widowControl/>
        <w:jc w:val="left"/>
        <w:rPr>
          <w:rFonts w:ascii="Times New Roman" w:hAnsi="Times New Roman"/>
          <w:b/>
          <w:bCs/>
          <w:color w:val="auto"/>
          <w:sz w:val="22"/>
          <w:szCs w:val="22"/>
          <w:highlight w:val="none"/>
        </w:rPr>
      </w:pPr>
      <w:r>
        <w:rPr>
          <w:rFonts w:ascii="Times New Roman" w:hAnsi="Times New Roman"/>
          <w:b/>
          <w:bCs/>
          <w:color w:val="auto"/>
          <w:sz w:val="22"/>
          <w:szCs w:val="22"/>
          <w:highlight w:val="none"/>
        </w:rPr>
        <w:br w:type="page"/>
      </w:r>
    </w:p>
    <w:p>
      <w:pPr>
        <w:pStyle w:val="5"/>
        <w:spacing w:line="360" w:lineRule="auto"/>
        <w:jc w:val="center"/>
        <w:rPr>
          <w:rFonts w:ascii="宋体" w:hAnsi="宋体"/>
          <w:color w:val="auto"/>
          <w:sz w:val="24"/>
          <w:szCs w:val="24"/>
          <w:highlight w:val="none"/>
        </w:rPr>
      </w:pPr>
      <w:bookmarkStart w:id="248" w:name="_Toc23885"/>
      <w:bookmarkStart w:id="249" w:name="_Toc11396"/>
      <w:bookmarkStart w:id="250" w:name="_Toc22389"/>
      <w:bookmarkStart w:id="251" w:name="_Toc32310"/>
      <w:bookmarkStart w:id="252" w:name="_Toc2461"/>
      <w:bookmarkStart w:id="253" w:name="_Toc61529878"/>
      <w:bookmarkStart w:id="254" w:name="_Toc441844124"/>
      <w:r>
        <w:rPr>
          <w:rFonts w:ascii="宋体" w:hAnsi="宋体"/>
          <w:color w:val="auto"/>
          <w:sz w:val="24"/>
          <w:szCs w:val="24"/>
          <w:highlight w:val="none"/>
        </w:rPr>
        <w:t>9</w:t>
      </w:r>
      <w:bookmarkEnd w:id="248"/>
      <w:bookmarkEnd w:id="249"/>
      <w:bookmarkEnd w:id="250"/>
      <w:bookmarkEnd w:id="251"/>
      <w:bookmarkEnd w:id="252"/>
      <w:r>
        <w:rPr>
          <w:rFonts w:ascii="宋体" w:hAnsi="宋体"/>
          <w:color w:val="auto"/>
          <w:sz w:val="24"/>
          <w:szCs w:val="24"/>
          <w:highlight w:val="none"/>
        </w:rPr>
        <w:t>、业绩情况一览表</w:t>
      </w:r>
      <w:bookmarkEnd w:id="253"/>
      <w:bookmarkEnd w:id="254"/>
    </w:p>
    <w:p>
      <w:pPr>
        <w:spacing w:line="360" w:lineRule="auto"/>
        <w:rPr>
          <w:rFonts w:ascii="Times New Roman" w:hAnsi="Times New Roman"/>
          <w:color w:val="auto"/>
          <w:szCs w:val="21"/>
          <w:highlight w:val="none"/>
          <w:u w:val="single"/>
        </w:rPr>
      </w:pPr>
      <w:r>
        <w:rPr>
          <w:rFonts w:hint="eastAsia" w:ascii="Times New Roman" w:hAnsi="宋体"/>
          <w:color w:val="auto"/>
          <w:szCs w:val="21"/>
          <w:highlight w:val="none"/>
        </w:rPr>
        <w:t>项目</w:t>
      </w:r>
      <w:r>
        <w:rPr>
          <w:rFonts w:ascii="Times New Roman" w:hAnsi="宋体"/>
          <w:color w:val="auto"/>
          <w:szCs w:val="21"/>
          <w:highlight w:val="none"/>
        </w:rPr>
        <w:t>名称：</w:t>
      </w:r>
      <w:r>
        <w:rPr>
          <w:rFonts w:ascii="Times New Roman" w:hAnsi="Times New Roman"/>
          <w:color w:val="auto"/>
          <w:szCs w:val="21"/>
          <w:highlight w:val="none"/>
        </w:rPr>
        <w:t xml:space="preserve">                               </w:t>
      </w:r>
      <w:r>
        <w:rPr>
          <w:rFonts w:ascii="Times New Roman" w:hAnsi="宋体"/>
          <w:color w:val="auto"/>
          <w:szCs w:val="21"/>
          <w:highlight w:val="none"/>
        </w:rPr>
        <w:t>项目编号：</w:t>
      </w:r>
      <w:r>
        <w:rPr>
          <w:rFonts w:hint="eastAsia" w:ascii="Times New Roman" w:hAnsi="宋体"/>
          <w:color w:val="auto"/>
          <w:szCs w:val="21"/>
          <w:highlight w:val="none"/>
        </w:rPr>
        <w:t xml:space="preserve"> </w:t>
      </w:r>
      <w:r>
        <w:rPr>
          <w:rFonts w:ascii="Times New Roman" w:hAnsi="宋体"/>
          <w:color w:val="auto"/>
          <w:szCs w:val="21"/>
          <w:highlight w:val="none"/>
        </w:rPr>
        <w:t xml:space="preserve">               </w:t>
      </w:r>
      <w:r>
        <w:rPr>
          <w:rFonts w:hint="eastAsia" w:ascii="Times New Roman" w:hAnsi="宋体"/>
          <w:color w:val="auto"/>
          <w:szCs w:val="21"/>
          <w:highlight w:val="none"/>
        </w:rPr>
        <w:t>包号：</w:t>
      </w:r>
    </w:p>
    <w:tbl>
      <w:tblPr>
        <w:tblStyle w:val="51"/>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r>
              <w:rPr>
                <w:rFonts w:hint="eastAsia"/>
                <w:color w:val="auto"/>
                <w:szCs w:val="21"/>
                <w:highlight w:val="none"/>
                <w:lang w:val="zh-CN"/>
              </w:rPr>
              <w:t>序号</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r>
              <w:rPr>
                <w:rFonts w:hint="eastAsia"/>
                <w:color w:val="auto"/>
                <w:szCs w:val="21"/>
                <w:highlight w:val="none"/>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cs="宋体"/>
                <w:color w:val="auto"/>
                <w:szCs w:val="21"/>
                <w:highlight w:val="none"/>
              </w:rPr>
            </w:pPr>
            <w:r>
              <w:rPr>
                <w:rFonts w:hint="eastAsia" w:hAnsi="宋体" w:cs="宋体"/>
                <w:color w:val="auto"/>
                <w:szCs w:val="21"/>
                <w:highlight w:val="none"/>
              </w:rPr>
              <w:t>主要服务内容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highlight w:val="none"/>
                <w:lang w:val="zh-CN"/>
              </w:rPr>
            </w:pPr>
            <w:r>
              <w:rPr>
                <w:rFonts w:hint="eastAsia" w:ascii="Times New Roman"/>
                <w:color w:val="auto"/>
                <w:szCs w:val="21"/>
                <w:highlight w:val="none"/>
              </w:rPr>
              <w:t>项目负责人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r>
              <w:rPr>
                <w:rFonts w:hint="eastAsia"/>
                <w:color w:val="auto"/>
                <w:szCs w:val="21"/>
                <w:highlight w:val="none"/>
                <w:lang w:val="zh-CN"/>
              </w:rPr>
              <w:t>合同</w:t>
            </w:r>
          </w:p>
          <w:p>
            <w:pPr>
              <w:jc w:val="center"/>
              <w:rPr>
                <w:rFonts w:ascii="Times New Roman"/>
                <w:color w:val="auto"/>
                <w:szCs w:val="21"/>
                <w:highlight w:val="none"/>
              </w:rPr>
            </w:pPr>
            <w:r>
              <w:rPr>
                <w:rFonts w:hint="eastAsia"/>
                <w:color w:val="auto"/>
                <w:szCs w:val="21"/>
                <w:highlight w:val="none"/>
                <w:lang w:val="zh-CN"/>
              </w:rPr>
              <w:t>金额</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highlight w:val="none"/>
                <w:lang w:val="zh-CN"/>
              </w:rPr>
            </w:pPr>
            <w:r>
              <w:rPr>
                <w:rFonts w:hint="eastAsia"/>
                <w:color w:val="auto"/>
                <w:szCs w:val="21"/>
                <w:highlight w:val="none"/>
                <w:lang w:val="zh-CN"/>
              </w:rPr>
              <w:t>签约</w:t>
            </w:r>
          </w:p>
          <w:p>
            <w:pPr>
              <w:jc w:val="center"/>
              <w:rPr>
                <w:rFonts w:ascii="Times New Roman"/>
                <w:color w:val="auto"/>
                <w:szCs w:val="21"/>
                <w:highlight w:val="none"/>
              </w:rPr>
            </w:pPr>
            <w:r>
              <w:rPr>
                <w:rFonts w:hint="eastAsia"/>
                <w:color w:val="auto"/>
                <w:szCs w:val="21"/>
                <w:highlight w:val="none"/>
                <w:lang w:val="zh-CN"/>
              </w:rPr>
              <w:t>日期</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r>
              <w:rPr>
                <w:rFonts w:hint="eastAsia"/>
                <w:color w:val="auto"/>
                <w:szCs w:val="21"/>
                <w:highlight w:val="none"/>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r>
              <w:rPr>
                <w:rFonts w:hint="eastAsia"/>
                <w:color w:val="auto"/>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highlight w:val="none"/>
                <w:lang w:val="zh-CN"/>
              </w:rPr>
            </w:pPr>
            <w:r>
              <w:rPr>
                <w:color w:val="auto"/>
                <w:szCs w:val="21"/>
                <w:highlight w:val="none"/>
                <w:lang w:val="zh-CN"/>
              </w:rPr>
              <w:t>1</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highlight w:val="none"/>
                <w:lang w:val="zh-CN"/>
              </w:rPr>
            </w:pPr>
            <w:r>
              <w:rPr>
                <w:color w:val="auto"/>
                <w:szCs w:val="21"/>
                <w:highlight w:val="none"/>
                <w:lang w:val="zh-CN"/>
              </w:rPr>
              <w:t>2</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highlight w:val="none"/>
                <w:lang w:val="zh-CN"/>
              </w:rPr>
            </w:pPr>
            <w:r>
              <w:rPr>
                <w:color w:val="auto"/>
                <w:szCs w:val="21"/>
                <w:highlight w:val="none"/>
                <w:lang w:val="zh-CN"/>
              </w:rPr>
              <w:t>3</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highlight w:val="none"/>
              </w:rPr>
            </w:pPr>
            <w:r>
              <w:rPr>
                <w:rFonts w:ascii="Courier New" w:hAnsi="Courier New" w:cs="Courier New"/>
                <w:color w:val="auto"/>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color w:val="auto"/>
                <w:szCs w:val="21"/>
                <w:highlight w:val="none"/>
              </w:rPr>
            </w:pPr>
          </w:p>
        </w:tc>
      </w:tr>
    </w:tbl>
    <w:p>
      <w:pPr>
        <w:rPr>
          <w:rFonts w:ascii="宋体" w:hAnsi="宋体"/>
          <w:color w:val="auto"/>
          <w:szCs w:val="21"/>
          <w:highlight w:val="none"/>
        </w:rPr>
      </w:pPr>
    </w:p>
    <w:p>
      <w:pPr>
        <w:spacing w:line="360" w:lineRule="auto"/>
        <w:ind w:left="735" w:hanging="735" w:hangingChars="350"/>
        <w:rPr>
          <w:rFonts w:hAnsi="宋体"/>
          <w:color w:val="auto"/>
          <w:szCs w:val="21"/>
          <w:highlight w:val="none"/>
        </w:rPr>
      </w:pPr>
      <w:r>
        <w:rPr>
          <w:rFonts w:hint="eastAsia" w:hAnsi="宋体"/>
          <w:color w:val="auto"/>
          <w:szCs w:val="21"/>
          <w:highlight w:val="none"/>
        </w:rPr>
        <w:t>注：</w:t>
      </w:r>
      <w:r>
        <w:rPr>
          <w:rFonts w:hint="eastAsia" w:hAnsi="宋体"/>
          <w:color w:val="auto"/>
          <w:szCs w:val="21"/>
          <w:highlight w:val="none"/>
          <w:lang w:val="zh-CN"/>
        </w:rPr>
        <w:t>1）</w:t>
      </w:r>
      <w:r>
        <w:rPr>
          <w:rFonts w:hint="eastAsia" w:hAnsi="宋体"/>
          <w:color w:val="auto"/>
          <w:szCs w:val="21"/>
          <w:highlight w:val="none"/>
        </w:rPr>
        <w:t>所提供的业绩资料须按评分标准中所列要求提供证明资料，若未按上述要求提供证明材料的业绩，或所附材料无法证明符合评分要求的业绩，在评标时将不予考虑。</w:t>
      </w:r>
    </w:p>
    <w:p>
      <w:pPr>
        <w:spacing w:line="360" w:lineRule="auto"/>
        <w:ind w:left="685" w:leftChars="226" w:hanging="210" w:hangingChars="1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int="eastAsia" w:hAnsi="宋体"/>
          <w:color w:val="auto"/>
          <w:szCs w:val="21"/>
          <w:highlight w:val="none"/>
          <w:lang w:val="zh-CN"/>
        </w:rPr>
        <w:t>如被发现虚假将取消中标资格。</w:t>
      </w:r>
    </w:p>
    <w:p>
      <w:pPr>
        <w:spacing w:line="360" w:lineRule="auto"/>
        <w:rPr>
          <w:rFonts w:ascii="宋体" w:hAnsi="宋体"/>
          <w:color w:val="auto"/>
          <w:sz w:val="22"/>
          <w:szCs w:val="22"/>
          <w:highlight w:val="none"/>
        </w:rPr>
      </w:pPr>
    </w:p>
    <w:p>
      <w:pPr>
        <w:pStyle w:val="99"/>
        <w:spacing w:before="624" w:beforeLines="200" w:line="480" w:lineRule="auto"/>
        <w:ind w:firstLine="4620" w:firstLineChars="2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480" w:lineRule="auto"/>
        <w:ind w:firstLine="4620" w:firstLineChars="2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u w:val="single"/>
        </w:rPr>
        <w:t xml:space="preserve">     年        月         日</w:t>
      </w:r>
    </w:p>
    <w:p>
      <w:pPr>
        <w:spacing w:line="360" w:lineRule="auto"/>
        <w:rPr>
          <w:rFonts w:ascii="宋体" w:hAnsi="宋体"/>
          <w:color w:val="auto"/>
          <w:sz w:val="22"/>
          <w:szCs w:val="22"/>
          <w:highlight w:val="none"/>
        </w:rPr>
      </w:pPr>
      <w:r>
        <w:rPr>
          <w:rFonts w:ascii="宋体" w:hAnsi="宋体"/>
          <w:color w:val="auto"/>
          <w:sz w:val="22"/>
          <w:szCs w:val="22"/>
          <w:highlight w:val="none"/>
        </w:rPr>
        <w:tab/>
      </w:r>
    </w:p>
    <w:p>
      <w:pPr>
        <w:widowControl/>
        <w:jc w:val="left"/>
        <w:rPr>
          <w:rFonts w:ascii="宋体" w:hAnsi="宋体"/>
          <w:color w:val="auto"/>
          <w:sz w:val="22"/>
          <w:szCs w:val="22"/>
          <w:highlight w:val="none"/>
        </w:rPr>
      </w:pPr>
      <w:r>
        <w:rPr>
          <w:rFonts w:ascii="宋体" w:hAnsi="宋体"/>
          <w:color w:val="auto"/>
          <w:sz w:val="22"/>
          <w:szCs w:val="22"/>
          <w:highlight w:val="none"/>
        </w:rPr>
        <w:br w:type="page"/>
      </w:r>
    </w:p>
    <w:p>
      <w:pPr>
        <w:pStyle w:val="5"/>
        <w:spacing w:line="360" w:lineRule="auto"/>
        <w:jc w:val="center"/>
        <w:rPr>
          <w:rFonts w:ascii="宋体" w:hAnsi="宋体"/>
          <w:color w:val="auto"/>
          <w:sz w:val="24"/>
          <w:szCs w:val="24"/>
          <w:highlight w:val="none"/>
        </w:rPr>
      </w:pPr>
      <w:bookmarkStart w:id="255" w:name="_Toc61529879"/>
      <w:r>
        <w:rPr>
          <w:rFonts w:hint="eastAsia" w:ascii="宋体" w:hAnsi="宋体"/>
          <w:color w:val="auto"/>
          <w:sz w:val="24"/>
          <w:szCs w:val="24"/>
          <w:highlight w:val="none"/>
        </w:rPr>
        <w:t>1</w:t>
      </w:r>
      <w:r>
        <w:rPr>
          <w:rFonts w:ascii="宋体" w:hAnsi="宋体"/>
          <w:color w:val="auto"/>
          <w:sz w:val="24"/>
          <w:szCs w:val="24"/>
          <w:highlight w:val="none"/>
        </w:rPr>
        <w:t>0</w:t>
      </w:r>
      <w:r>
        <w:rPr>
          <w:rFonts w:hint="eastAsia" w:ascii="宋体" w:hAnsi="宋体"/>
          <w:color w:val="auto"/>
          <w:sz w:val="24"/>
          <w:szCs w:val="24"/>
          <w:highlight w:val="none"/>
        </w:rPr>
        <w:t>、拟投入本项目的服务团队人员情况表格式</w:t>
      </w:r>
      <w:bookmarkEnd w:id="255"/>
    </w:p>
    <w:p>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10-1 拟投入本项目管理人员情况表</w:t>
      </w:r>
    </w:p>
    <w:p>
      <w:pPr>
        <w:spacing w:line="360" w:lineRule="auto"/>
        <w:rPr>
          <w:rFonts w:ascii="Times New Roman" w:hAnsi="Times New Roman"/>
          <w:color w:val="auto"/>
          <w:szCs w:val="21"/>
          <w:highlight w:val="none"/>
          <w:u w:val="single"/>
        </w:rPr>
      </w:pPr>
      <w:r>
        <w:rPr>
          <w:rFonts w:hint="eastAsia" w:ascii="Times New Roman" w:hAnsi="宋体"/>
          <w:color w:val="auto"/>
          <w:szCs w:val="21"/>
          <w:highlight w:val="none"/>
        </w:rPr>
        <w:t>项目</w:t>
      </w:r>
      <w:r>
        <w:rPr>
          <w:rFonts w:ascii="Times New Roman" w:hAnsi="宋体"/>
          <w:color w:val="auto"/>
          <w:szCs w:val="21"/>
          <w:highlight w:val="none"/>
        </w:rPr>
        <w:t>名称：</w:t>
      </w:r>
      <w:r>
        <w:rPr>
          <w:rFonts w:ascii="Times New Roman" w:hAnsi="Times New Roman"/>
          <w:color w:val="auto"/>
          <w:szCs w:val="21"/>
          <w:highlight w:val="none"/>
        </w:rPr>
        <w:t xml:space="preserve">                                     </w:t>
      </w:r>
      <w:r>
        <w:rPr>
          <w:rFonts w:ascii="Times New Roman" w:hAnsi="宋体"/>
          <w:color w:val="auto"/>
          <w:szCs w:val="21"/>
          <w:highlight w:val="none"/>
        </w:rPr>
        <w:t>项目编号：</w:t>
      </w:r>
      <w:r>
        <w:rPr>
          <w:rFonts w:hint="eastAsia" w:ascii="Times New Roman" w:hAnsi="宋体"/>
          <w:color w:val="auto"/>
          <w:szCs w:val="21"/>
          <w:highlight w:val="none"/>
        </w:rPr>
        <w:t xml:space="preserve"> </w:t>
      </w:r>
      <w:r>
        <w:rPr>
          <w:rFonts w:ascii="Times New Roman" w:hAnsi="宋体"/>
          <w:color w:val="auto"/>
          <w:szCs w:val="21"/>
          <w:highlight w:val="none"/>
        </w:rPr>
        <w:t xml:space="preserve">          </w:t>
      </w:r>
      <w:r>
        <w:rPr>
          <w:rFonts w:hint="eastAsia" w:ascii="Times New Roman" w:hAnsi="宋体"/>
          <w:color w:val="auto"/>
          <w:szCs w:val="21"/>
          <w:highlight w:val="none"/>
        </w:rPr>
        <w:t>包号：</w:t>
      </w:r>
    </w:p>
    <w:tbl>
      <w:tblPr>
        <w:tblStyle w:val="5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134"/>
        <w:gridCol w:w="19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序号</w:t>
            </w:r>
          </w:p>
        </w:tc>
        <w:tc>
          <w:tcPr>
            <w:tcW w:w="1169"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姓名</w:t>
            </w:r>
          </w:p>
        </w:tc>
        <w:tc>
          <w:tcPr>
            <w:tcW w:w="67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性别</w:t>
            </w:r>
          </w:p>
        </w:tc>
        <w:tc>
          <w:tcPr>
            <w:tcW w:w="67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年龄</w:t>
            </w:r>
          </w:p>
        </w:tc>
        <w:tc>
          <w:tcPr>
            <w:tcW w:w="67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学历</w:t>
            </w:r>
          </w:p>
        </w:tc>
        <w:tc>
          <w:tcPr>
            <w:tcW w:w="164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资格/职称证书/退伍或复员证</w:t>
            </w:r>
          </w:p>
        </w:tc>
        <w:tc>
          <w:tcPr>
            <w:tcW w:w="1134"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拟任职务</w:t>
            </w:r>
          </w:p>
        </w:tc>
        <w:tc>
          <w:tcPr>
            <w:tcW w:w="1939"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从事本行业年限</w:t>
            </w:r>
          </w:p>
        </w:tc>
        <w:tc>
          <w:tcPr>
            <w:tcW w:w="947" w:type="dxa"/>
            <w:noWrap w:val="0"/>
            <w:vAlign w:val="center"/>
          </w:tcPr>
          <w:p>
            <w:pPr>
              <w:spacing w:line="360" w:lineRule="auto"/>
              <w:rPr>
                <w:rFonts w:hAnsi="宋体"/>
                <w:color w:val="auto"/>
                <w:szCs w:val="21"/>
                <w:highlight w:val="none"/>
              </w:rPr>
            </w:pPr>
            <w:r>
              <w:rPr>
                <w:rFonts w:hint="eastAsia"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bl>
    <w:p>
      <w:pPr>
        <w:spacing w:line="360" w:lineRule="auto"/>
        <w:ind w:left="735" w:hanging="735" w:hangingChars="350"/>
        <w:rPr>
          <w:rFonts w:hAnsi="宋体"/>
          <w:color w:val="auto"/>
          <w:szCs w:val="21"/>
          <w:highlight w:val="none"/>
        </w:rPr>
      </w:pPr>
      <w:r>
        <w:rPr>
          <w:rFonts w:hint="eastAsia" w:hAnsi="宋体"/>
          <w:color w:val="auto"/>
          <w:szCs w:val="21"/>
          <w:highlight w:val="none"/>
        </w:rPr>
        <w:t>注：</w:t>
      </w:r>
      <w:r>
        <w:rPr>
          <w:rFonts w:hint="eastAsia" w:hAnsi="宋体"/>
          <w:color w:val="auto"/>
          <w:szCs w:val="21"/>
          <w:highlight w:val="none"/>
          <w:lang w:val="zh-CN"/>
        </w:rPr>
        <w:t>1）</w:t>
      </w:r>
      <w:r>
        <w:rPr>
          <w:rFonts w:hint="eastAsia" w:hAnsi="宋体"/>
          <w:color w:val="auto"/>
          <w:szCs w:val="21"/>
          <w:highlight w:val="none"/>
        </w:rPr>
        <w:t>所提供的人员资料须按评分标准中所列要求提供证明资料，若未按上述要求提供证明材料的人员，或所附材料无法证明符合评分要求的人员，在评标时将不予考虑。</w:t>
      </w:r>
    </w:p>
    <w:p>
      <w:pPr>
        <w:spacing w:line="360" w:lineRule="auto"/>
        <w:ind w:left="685" w:leftChars="226" w:hanging="210" w:hangingChars="1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int="eastAsia" w:hAnsi="宋体"/>
          <w:color w:val="auto"/>
          <w:szCs w:val="21"/>
          <w:highlight w:val="none"/>
          <w:lang w:val="zh-CN"/>
        </w:rPr>
        <w:t>如被发现虚假将取消中标资格。</w:t>
      </w:r>
    </w:p>
    <w:p>
      <w:pPr>
        <w:spacing w:line="360" w:lineRule="auto"/>
        <w:rPr>
          <w:rFonts w:hAnsi="宋体"/>
          <w:color w:val="auto"/>
          <w:szCs w:val="21"/>
          <w:highlight w:val="none"/>
        </w:rPr>
      </w:pPr>
    </w:p>
    <w:p>
      <w:pPr>
        <w:pStyle w:val="99"/>
        <w:spacing w:before="624" w:beforeLines="200" w:line="480" w:lineRule="auto"/>
        <w:ind w:firstLine="4830" w:firstLineChars="23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480" w:lineRule="auto"/>
        <w:ind w:firstLine="4830" w:firstLineChars="23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u w:val="single"/>
        </w:rPr>
        <w:t xml:space="preserve">     年        月         日</w:t>
      </w:r>
    </w:p>
    <w:p>
      <w:pPr>
        <w:spacing w:line="360" w:lineRule="auto"/>
        <w:jc w:val="center"/>
        <w:rPr>
          <w:rFonts w:hAnsi="宋体"/>
          <w:b/>
          <w:color w:val="auto"/>
          <w:sz w:val="30"/>
          <w:szCs w:val="30"/>
          <w:highlight w:val="none"/>
        </w:rPr>
      </w:pPr>
      <w:r>
        <w:rPr>
          <w:rFonts w:hAnsi="宋体"/>
          <w:b/>
          <w:color w:val="auto"/>
          <w:sz w:val="30"/>
          <w:szCs w:val="30"/>
          <w:highlight w:val="none"/>
        </w:rPr>
        <w:br w:type="page"/>
      </w:r>
    </w:p>
    <w:p>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10-2 拟投入本项目的服务人员情况表</w:t>
      </w:r>
    </w:p>
    <w:p>
      <w:pPr>
        <w:spacing w:line="360" w:lineRule="auto"/>
        <w:rPr>
          <w:rFonts w:ascii="Times New Roman" w:hAnsi="Times New Roman"/>
          <w:color w:val="auto"/>
          <w:szCs w:val="21"/>
          <w:highlight w:val="none"/>
          <w:u w:val="single"/>
        </w:rPr>
      </w:pPr>
      <w:r>
        <w:rPr>
          <w:rFonts w:hint="eastAsia" w:ascii="Times New Roman" w:hAnsi="宋体"/>
          <w:color w:val="auto"/>
          <w:szCs w:val="21"/>
          <w:highlight w:val="none"/>
        </w:rPr>
        <w:t>项目</w:t>
      </w:r>
      <w:r>
        <w:rPr>
          <w:rFonts w:ascii="Times New Roman" w:hAnsi="宋体"/>
          <w:color w:val="auto"/>
          <w:szCs w:val="21"/>
          <w:highlight w:val="none"/>
        </w:rPr>
        <w:t>名称：</w:t>
      </w:r>
      <w:r>
        <w:rPr>
          <w:rFonts w:ascii="Times New Roman" w:hAnsi="Times New Roman"/>
          <w:color w:val="auto"/>
          <w:szCs w:val="21"/>
          <w:highlight w:val="none"/>
        </w:rPr>
        <w:t xml:space="preserve">                                     </w:t>
      </w:r>
      <w:r>
        <w:rPr>
          <w:rFonts w:ascii="Times New Roman" w:hAnsi="宋体"/>
          <w:color w:val="auto"/>
          <w:szCs w:val="21"/>
          <w:highlight w:val="none"/>
        </w:rPr>
        <w:t>项目编号：</w:t>
      </w:r>
      <w:r>
        <w:rPr>
          <w:rFonts w:hint="eastAsia" w:ascii="Times New Roman" w:hAnsi="宋体"/>
          <w:color w:val="auto"/>
          <w:szCs w:val="21"/>
          <w:highlight w:val="none"/>
        </w:rPr>
        <w:t xml:space="preserve"> </w:t>
      </w:r>
      <w:r>
        <w:rPr>
          <w:rFonts w:ascii="Times New Roman" w:hAnsi="宋体"/>
          <w:color w:val="auto"/>
          <w:szCs w:val="21"/>
          <w:highlight w:val="none"/>
        </w:rPr>
        <w:t xml:space="preserve">          </w:t>
      </w:r>
      <w:r>
        <w:rPr>
          <w:rFonts w:hint="eastAsia" w:ascii="Times New Roman" w:hAnsi="宋体"/>
          <w:color w:val="auto"/>
          <w:szCs w:val="21"/>
          <w:highlight w:val="none"/>
        </w:rPr>
        <w:t>包号：</w:t>
      </w:r>
    </w:p>
    <w:tbl>
      <w:tblPr>
        <w:tblStyle w:val="5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134"/>
        <w:gridCol w:w="19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序号</w:t>
            </w:r>
          </w:p>
        </w:tc>
        <w:tc>
          <w:tcPr>
            <w:tcW w:w="1169"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姓名</w:t>
            </w:r>
          </w:p>
        </w:tc>
        <w:tc>
          <w:tcPr>
            <w:tcW w:w="67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性别</w:t>
            </w:r>
          </w:p>
        </w:tc>
        <w:tc>
          <w:tcPr>
            <w:tcW w:w="67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年龄</w:t>
            </w:r>
          </w:p>
        </w:tc>
        <w:tc>
          <w:tcPr>
            <w:tcW w:w="67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学历</w:t>
            </w:r>
          </w:p>
        </w:tc>
        <w:tc>
          <w:tcPr>
            <w:tcW w:w="1647"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资格/职称证书/退伍或复员证</w:t>
            </w:r>
          </w:p>
        </w:tc>
        <w:tc>
          <w:tcPr>
            <w:tcW w:w="1134"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拟任职务</w:t>
            </w:r>
          </w:p>
        </w:tc>
        <w:tc>
          <w:tcPr>
            <w:tcW w:w="1939" w:type="dxa"/>
            <w:noWrap w:val="0"/>
            <w:vAlign w:val="center"/>
          </w:tcPr>
          <w:p>
            <w:pPr>
              <w:spacing w:line="360" w:lineRule="auto"/>
              <w:jc w:val="center"/>
              <w:rPr>
                <w:rFonts w:hAnsi="宋体"/>
                <w:color w:val="auto"/>
                <w:szCs w:val="21"/>
                <w:highlight w:val="none"/>
              </w:rPr>
            </w:pPr>
            <w:r>
              <w:rPr>
                <w:rFonts w:hint="eastAsia" w:hAnsi="宋体"/>
                <w:color w:val="auto"/>
                <w:szCs w:val="21"/>
                <w:highlight w:val="none"/>
              </w:rPr>
              <w:t>从事本行业年限</w:t>
            </w:r>
          </w:p>
        </w:tc>
        <w:tc>
          <w:tcPr>
            <w:tcW w:w="947" w:type="dxa"/>
            <w:noWrap w:val="0"/>
            <w:vAlign w:val="center"/>
          </w:tcPr>
          <w:p>
            <w:pPr>
              <w:spacing w:line="360" w:lineRule="auto"/>
              <w:rPr>
                <w:rFonts w:hAnsi="宋体"/>
                <w:color w:val="auto"/>
                <w:szCs w:val="21"/>
                <w:highlight w:val="none"/>
              </w:rPr>
            </w:pPr>
            <w:r>
              <w:rPr>
                <w:rFonts w:hint="eastAsia"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noWrap w:val="0"/>
            <w:vAlign w:val="center"/>
          </w:tcPr>
          <w:p>
            <w:pPr>
              <w:spacing w:line="360" w:lineRule="auto"/>
              <w:jc w:val="center"/>
              <w:rPr>
                <w:rFonts w:hAnsi="宋体"/>
                <w:color w:val="auto"/>
                <w:szCs w:val="21"/>
                <w:highlight w:val="none"/>
              </w:rPr>
            </w:pPr>
          </w:p>
        </w:tc>
        <w:tc>
          <w:tcPr>
            <w:tcW w:w="1169"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677" w:type="dxa"/>
            <w:noWrap w:val="0"/>
            <w:vAlign w:val="center"/>
          </w:tcPr>
          <w:p>
            <w:pPr>
              <w:spacing w:line="360" w:lineRule="auto"/>
              <w:jc w:val="center"/>
              <w:rPr>
                <w:rFonts w:hAnsi="宋体"/>
                <w:color w:val="auto"/>
                <w:szCs w:val="21"/>
                <w:highlight w:val="none"/>
              </w:rPr>
            </w:pPr>
          </w:p>
        </w:tc>
        <w:tc>
          <w:tcPr>
            <w:tcW w:w="1647" w:type="dxa"/>
            <w:noWrap w:val="0"/>
            <w:vAlign w:val="center"/>
          </w:tcPr>
          <w:p>
            <w:pPr>
              <w:spacing w:line="360" w:lineRule="auto"/>
              <w:jc w:val="center"/>
              <w:rPr>
                <w:rFonts w:hAnsi="宋体"/>
                <w:color w:val="auto"/>
                <w:szCs w:val="21"/>
                <w:highlight w:val="none"/>
              </w:rPr>
            </w:pPr>
          </w:p>
        </w:tc>
        <w:tc>
          <w:tcPr>
            <w:tcW w:w="1134" w:type="dxa"/>
            <w:noWrap w:val="0"/>
            <w:vAlign w:val="center"/>
          </w:tcPr>
          <w:p>
            <w:pPr>
              <w:spacing w:line="360" w:lineRule="auto"/>
              <w:jc w:val="center"/>
              <w:rPr>
                <w:rFonts w:hAnsi="宋体"/>
                <w:color w:val="auto"/>
                <w:szCs w:val="21"/>
                <w:highlight w:val="none"/>
              </w:rPr>
            </w:pPr>
          </w:p>
        </w:tc>
        <w:tc>
          <w:tcPr>
            <w:tcW w:w="1939" w:type="dxa"/>
            <w:noWrap w:val="0"/>
            <w:vAlign w:val="center"/>
          </w:tcPr>
          <w:p>
            <w:pPr>
              <w:spacing w:line="360" w:lineRule="auto"/>
              <w:jc w:val="center"/>
              <w:rPr>
                <w:rFonts w:hAnsi="宋体"/>
                <w:color w:val="auto"/>
                <w:szCs w:val="21"/>
                <w:highlight w:val="none"/>
              </w:rPr>
            </w:pPr>
          </w:p>
        </w:tc>
        <w:tc>
          <w:tcPr>
            <w:tcW w:w="947" w:type="dxa"/>
            <w:noWrap w:val="0"/>
            <w:vAlign w:val="center"/>
          </w:tcPr>
          <w:p>
            <w:pPr>
              <w:spacing w:line="360" w:lineRule="auto"/>
              <w:jc w:val="center"/>
              <w:rPr>
                <w:rFonts w:hAnsi="宋体"/>
                <w:color w:val="auto"/>
                <w:szCs w:val="21"/>
                <w:highlight w:val="none"/>
              </w:rPr>
            </w:pPr>
          </w:p>
        </w:tc>
      </w:tr>
    </w:tbl>
    <w:p>
      <w:pPr>
        <w:spacing w:line="360" w:lineRule="auto"/>
        <w:ind w:left="735" w:hanging="735" w:hangingChars="350"/>
        <w:rPr>
          <w:rFonts w:hAnsi="宋体"/>
          <w:color w:val="auto"/>
          <w:szCs w:val="21"/>
          <w:highlight w:val="none"/>
        </w:rPr>
      </w:pPr>
      <w:r>
        <w:rPr>
          <w:rFonts w:hint="eastAsia" w:hAnsi="宋体"/>
          <w:color w:val="auto"/>
          <w:szCs w:val="21"/>
          <w:highlight w:val="none"/>
        </w:rPr>
        <w:t>注：</w:t>
      </w:r>
      <w:r>
        <w:rPr>
          <w:rFonts w:hint="eastAsia" w:hAnsi="宋体"/>
          <w:color w:val="auto"/>
          <w:szCs w:val="21"/>
          <w:highlight w:val="none"/>
          <w:lang w:val="zh-CN"/>
        </w:rPr>
        <w:t>1）</w:t>
      </w:r>
      <w:r>
        <w:rPr>
          <w:rFonts w:hint="eastAsia" w:hAnsi="宋体"/>
          <w:color w:val="auto"/>
          <w:szCs w:val="21"/>
          <w:highlight w:val="none"/>
        </w:rPr>
        <w:t>所提供的人员资料须按评分标准中所列要求提供证明资料，若未按上述要求提供证明材料的人员，或所附材料无法证明符合评分要求的人员，在评标时将不予考虑。</w:t>
      </w:r>
    </w:p>
    <w:p>
      <w:pPr>
        <w:spacing w:line="360" w:lineRule="auto"/>
        <w:ind w:left="685" w:leftChars="226" w:hanging="210" w:hangingChars="1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int="eastAsia" w:hAnsi="宋体"/>
          <w:color w:val="auto"/>
          <w:szCs w:val="21"/>
          <w:highlight w:val="none"/>
          <w:lang w:val="zh-CN"/>
        </w:rPr>
        <w:t>如被发现虚假将取消中标资格。</w:t>
      </w:r>
    </w:p>
    <w:p>
      <w:pPr>
        <w:spacing w:line="360" w:lineRule="auto"/>
        <w:rPr>
          <w:rFonts w:hAnsi="宋体"/>
          <w:color w:val="auto"/>
          <w:szCs w:val="21"/>
          <w:highlight w:val="none"/>
        </w:rPr>
      </w:pPr>
    </w:p>
    <w:p>
      <w:pPr>
        <w:pStyle w:val="99"/>
        <w:spacing w:before="624" w:beforeLines="200" w:line="480" w:lineRule="auto"/>
        <w:ind w:firstLine="4620" w:firstLineChars="2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投标人名称（加盖公章）： </w:t>
      </w:r>
      <w:r>
        <w:rPr>
          <w:rFonts w:hint="eastAsia" w:ascii="宋体" w:hAnsi="宋体" w:eastAsia="宋体"/>
          <w:color w:val="auto"/>
          <w:sz w:val="21"/>
          <w:szCs w:val="21"/>
          <w:highlight w:val="none"/>
          <w:u w:val="single"/>
        </w:rPr>
        <w:t xml:space="preserve">                 </w:t>
      </w:r>
    </w:p>
    <w:p>
      <w:pPr>
        <w:pStyle w:val="99"/>
        <w:spacing w:line="480" w:lineRule="auto"/>
        <w:ind w:firstLine="4620" w:firstLineChars="2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u w:val="single"/>
        </w:rPr>
        <w:t xml:space="preserve">     年        月         日</w:t>
      </w:r>
    </w:p>
    <w:p>
      <w:pPr>
        <w:rPr>
          <w:color w:val="auto"/>
          <w:highlight w:val="none"/>
        </w:rPr>
      </w:pPr>
    </w:p>
    <w:p>
      <w:pPr>
        <w:rPr>
          <w:color w:val="auto"/>
          <w:highlight w:val="none"/>
        </w:rPr>
        <w:sectPr>
          <w:headerReference r:id="rId7" w:type="first"/>
          <w:headerReference r:id="rId6" w:type="default"/>
          <w:footerReference r:id="rId8" w:type="default"/>
          <w:pgSz w:w="11906" w:h="16838"/>
          <w:pgMar w:top="1327" w:right="1440" w:bottom="1327" w:left="1440" w:header="851" w:footer="992" w:gutter="0"/>
          <w:cols w:space="720" w:num="1"/>
          <w:titlePg/>
          <w:docGrid w:type="lines" w:linePitch="312" w:charSpace="0"/>
        </w:sectPr>
      </w:pPr>
      <w:bookmarkStart w:id="256" w:name="_Toc441844127"/>
      <w:bookmarkStart w:id="257" w:name="_Toc439325723"/>
    </w:p>
    <w:bookmarkEnd w:id="256"/>
    <w:bookmarkEnd w:id="257"/>
    <w:p>
      <w:pPr>
        <w:spacing w:line="360" w:lineRule="auto"/>
        <w:jc w:val="both"/>
        <w:rPr>
          <w:rFonts w:hint="eastAsia" w:ascii="宋体" w:hAnsi="宋体"/>
          <w:b/>
          <w:color w:val="auto"/>
          <w:sz w:val="22"/>
          <w:szCs w:val="22"/>
          <w:highlight w:val="none"/>
        </w:rPr>
      </w:pPr>
      <w:bookmarkStart w:id="258" w:name="_Toc441844128"/>
      <w:bookmarkStart w:id="259" w:name="_Toc61529880"/>
      <w:bookmarkStart w:id="260" w:name="_Toc439325724"/>
    </w:p>
    <w:p>
      <w:pPr>
        <w:spacing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11、投标方案</w:t>
      </w:r>
      <w:bookmarkEnd w:id="258"/>
      <w:bookmarkEnd w:id="259"/>
      <w:bookmarkEnd w:id="260"/>
    </w:p>
    <w:p>
      <w:pPr>
        <w:spacing w:line="360" w:lineRule="auto"/>
        <w:ind w:firstLine="442" w:firstLineChars="200"/>
        <w:rPr>
          <w:rFonts w:ascii="宋体" w:hAnsi="宋体"/>
          <w:b/>
          <w:color w:val="auto"/>
          <w:sz w:val="22"/>
          <w:szCs w:val="22"/>
          <w:highlight w:val="none"/>
        </w:rPr>
      </w:pPr>
    </w:p>
    <w:p>
      <w:pPr>
        <w:spacing w:line="360" w:lineRule="auto"/>
        <w:ind w:firstLine="442" w:firstLineChars="200"/>
        <w:rPr>
          <w:b/>
          <w:color w:val="auto"/>
          <w:sz w:val="22"/>
          <w:szCs w:val="22"/>
          <w:highlight w:val="none"/>
        </w:rPr>
      </w:pPr>
      <w:r>
        <w:rPr>
          <w:rFonts w:ascii="宋体" w:hAnsi="宋体"/>
          <w:b/>
          <w:color w:val="auto"/>
          <w:sz w:val="22"/>
          <w:szCs w:val="22"/>
          <w:highlight w:val="none"/>
        </w:rPr>
        <w:t>投标人应编制详细、完整的</w:t>
      </w:r>
      <w:r>
        <w:rPr>
          <w:rFonts w:hint="eastAsia" w:ascii="宋体" w:hAnsi="宋体"/>
          <w:b/>
          <w:color w:val="auto"/>
          <w:sz w:val="22"/>
          <w:szCs w:val="22"/>
          <w:highlight w:val="none"/>
        </w:rPr>
        <w:t>供货或</w:t>
      </w:r>
      <w:r>
        <w:rPr>
          <w:rFonts w:ascii="宋体" w:hAnsi="宋体"/>
          <w:b/>
          <w:color w:val="auto"/>
          <w:sz w:val="22"/>
          <w:szCs w:val="22"/>
          <w:highlight w:val="none"/>
        </w:rPr>
        <w:t>服务方案</w:t>
      </w:r>
      <w:r>
        <w:rPr>
          <w:rFonts w:hint="eastAsia" w:ascii="宋体" w:hAnsi="宋体"/>
          <w:b/>
          <w:color w:val="auto"/>
          <w:sz w:val="22"/>
          <w:szCs w:val="22"/>
          <w:highlight w:val="none"/>
        </w:rPr>
        <w:t>，</w:t>
      </w:r>
      <w:r>
        <w:rPr>
          <w:rFonts w:ascii="宋体" w:hAnsi="宋体"/>
          <w:b/>
          <w:color w:val="auto"/>
          <w:sz w:val="22"/>
          <w:szCs w:val="22"/>
          <w:highlight w:val="none"/>
        </w:rPr>
        <w:t>该方案应满足或高于招标文件要求，具体内</w:t>
      </w:r>
      <w:r>
        <w:rPr>
          <w:rFonts w:hint="eastAsia" w:ascii="宋体" w:hAnsi="宋体"/>
          <w:b/>
          <w:color w:val="auto"/>
          <w:sz w:val="22"/>
          <w:szCs w:val="22"/>
          <w:highlight w:val="none"/>
        </w:rPr>
        <w:t>容包括不限于本项目招标文件评分标准中所列内容。</w:t>
      </w:r>
      <w:r>
        <w:rPr>
          <w:rFonts w:hint="eastAsia"/>
          <w:b/>
          <w:color w:val="auto"/>
          <w:sz w:val="22"/>
          <w:szCs w:val="22"/>
          <w:highlight w:val="none"/>
        </w:rPr>
        <w:t>投标人应尽可能提供详细说明，以便评委会对投标方案有详细了解。</w:t>
      </w:r>
    </w:p>
    <w:p>
      <w:pPr>
        <w:pStyle w:val="5"/>
        <w:numPr>
          <w:ilvl w:val="0"/>
          <w:numId w:val="0"/>
        </w:numPr>
        <w:jc w:val="center"/>
        <w:rPr>
          <w:rFonts w:ascii="Times New Roman" w:hAnsi="Times New Roman"/>
          <w:color w:val="auto"/>
          <w:sz w:val="22"/>
          <w:szCs w:val="22"/>
          <w:highlight w:val="none"/>
        </w:rPr>
      </w:pPr>
      <w:r>
        <w:rPr>
          <w:rFonts w:ascii="宋体"/>
          <w:color w:val="auto"/>
          <w:highlight w:val="none"/>
        </w:rPr>
        <w:br w:type="page"/>
      </w:r>
      <w:r>
        <w:rPr>
          <w:rFonts w:hint="eastAsia" w:ascii="宋体" w:hAnsi="宋体" w:eastAsia="宋体" w:cs="Times New Roman"/>
          <w:b/>
          <w:bCs w:val="0"/>
          <w:color w:val="auto"/>
          <w:kern w:val="2"/>
          <w:sz w:val="24"/>
          <w:szCs w:val="24"/>
          <w:highlight w:val="none"/>
          <w:lang w:val="en-US" w:eastAsia="zh-CN" w:bidi="ar-SA"/>
        </w:rPr>
        <w:t>12、</w:t>
      </w:r>
      <w:bookmarkStart w:id="261" w:name="_Toc20989"/>
      <w:r>
        <w:rPr>
          <w:rFonts w:hint="eastAsia" w:ascii="宋体" w:hAnsi="宋体" w:eastAsia="宋体" w:cs="Times New Roman"/>
          <w:b/>
          <w:bCs w:val="0"/>
          <w:color w:val="auto"/>
          <w:kern w:val="2"/>
          <w:sz w:val="24"/>
          <w:szCs w:val="24"/>
          <w:highlight w:val="none"/>
          <w:lang w:val="en-US" w:eastAsia="zh-CN" w:bidi="ar-SA"/>
        </w:rPr>
        <w:t>货物说明一览表</w:t>
      </w:r>
      <w:bookmarkEnd w:id="261"/>
    </w:p>
    <w:p>
      <w:pPr>
        <w:spacing w:line="560" w:lineRule="exact"/>
        <w:rPr>
          <w:rFonts w:ascii="Times New Roman" w:hAnsi="Times New Roman"/>
          <w:color w:val="auto"/>
          <w:sz w:val="22"/>
          <w:szCs w:val="22"/>
          <w:highlight w:val="none"/>
          <w:u w:val="single"/>
        </w:rPr>
      </w:pPr>
      <w:r>
        <w:rPr>
          <w:rFonts w:ascii="Times New Roman" w:hAnsi="Times New Roman"/>
          <w:color w:val="auto"/>
          <w:sz w:val="22"/>
          <w:szCs w:val="22"/>
          <w:highlight w:val="none"/>
        </w:rPr>
        <w:t>投标人名称：</w:t>
      </w:r>
      <w:r>
        <w:rPr>
          <w:rFonts w:ascii="Times New Roman" w:hAnsi="Times New Roman"/>
          <w:bCs/>
          <w:snapToGrid w:val="0"/>
          <w:color w:val="auto"/>
          <w:kern w:val="0"/>
          <w:sz w:val="22"/>
          <w:szCs w:val="22"/>
          <w:highlight w:val="none"/>
        </w:rPr>
        <w:t xml:space="preserve">                            </w:t>
      </w:r>
      <w:r>
        <w:rPr>
          <w:rFonts w:ascii="Times New Roman" w:hAnsi="Times New Roman"/>
          <w:color w:val="auto"/>
          <w:sz w:val="22"/>
          <w:szCs w:val="22"/>
          <w:highlight w:val="none"/>
        </w:rPr>
        <w:t>采购编号：</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44"/>
        <w:gridCol w:w="794"/>
        <w:gridCol w:w="1154"/>
        <w:gridCol w:w="873"/>
        <w:gridCol w:w="1396"/>
        <w:gridCol w:w="708"/>
        <w:gridCol w:w="19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524" w:type="dxa"/>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44" w:type="dxa"/>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货物名称</w:t>
            </w:r>
          </w:p>
        </w:tc>
        <w:tc>
          <w:tcPr>
            <w:tcW w:w="794" w:type="dxa"/>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1154" w:type="dxa"/>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生产厂家</w:t>
            </w:r>
          </w:p>
        </w:tc>
        <w:tc>
          <w:tcPr>
            <w:tcW w:w="873" w:type="dxa"/>
            <w:noWrap w:val="0"/>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原产地</w:t>
            </w:r>
          </w:p>
        </w:tc>
        <w:tc>
          <w:tcPr>
            <w:tcW w:w="1396" w:type="dxa"/>
            <w:noWrap w:val="0"/>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规格及型号</w:t>
            </w:r>
          </w:p>
        </w:tc>
        <w:tc>
          <w:tcPr>
            <w:tcW w:w="708" w:type="dxa"/>
            <w:noWrap w:val="0"/>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1910" w:type="dxa"/>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详细技术参数</w:t>
            </w:r>
          </w:p>
        </w:tc>
        <w:tc>
          <w:tcPr>
            <w:tcW w:w="698" w:type="dxa"/>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pStyle w:val="33"/>
              <w:tabs>
                <w:tab w:val="right" w:leader="dot" w:pos="9629"/>
              </w:tabs>
              <w:spacing w:before="120" w:after="120"/>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pStyle w:val="33"/>
              <w:tabs>
                <w:tab w:val="right" w:leader="dot" w:pos="9629"/>
              </w:tabs>
              <w:spacing w:before="120" w:after="120"/>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24"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544" w:type="dxa"/>
            <w:noWrap w:val="0"/>
            <w:vAlign w:val="top"/>
          </w:tcPr>
          <w:p>
            <w:pPr>
              <w:spacing w:line="360" w:lineRule="auto"/>
              <w:rPr>
                <w:rFonts w:ascii="宋体" w:hAnsi="宋体" w:cs="宋体"/>
                <w:color w:val="auto"/>
                <w:szCs w:val="21"/>
                <w:highlight w:val="none"/>
              </w:rPr>
            </w:pPr>
          </w:p>
        </w:tc>
        <w:tc>
          <w:tcPr>
            <w:tcW w:w="794" w:type="dxa"/>
            <w:noWrap w:val="0"/>
            <w:vAlign w:val="top"/>
          </w:tcPr>
          <w:p>
            <w:pPr>
              <w:spacing w:line="360" w:lineRule="auto"/>
              <w:rPr>
                <w:rFonts w:ascii="宋体" w:hAnsi="宋体" w:cs="宋体"/>
                <w:color w:val="auto"/>
                <w:szCs w:val="21"/>
                <w:highlight w:val="none"/>
              </w:rPr>
            </w:pPr>
          </w:p>
        </w:tc>
        <w:tc>
          <w:tcPr>
            <w:tcW w:w="1154" w:type="dxa"/>
            <w:noWrap w:val="0"/>
            <w:vAlign w:val="top"/>
          </w:tcPr>
          <w:p>
            <w:pPr>
              <w:spacing w:line="360" w:lineRule="auto"/>
              <w:rPr>
                <w:rFonts w:ascii="宋体" w:hAnsi="宋体" w:cs="宋体"/>
                <w:color w:val="auto"/>
                <w:szCs w:val="21"/>
                <w:highlight w:val="none"/>
              </w:rPr>
            </w:pPr>
          </w:p>
        </w:tc>
        <w:tc>
          <w:tcPr>
            <w:tcW w:w="873" w:type="dxa"/>
            <w:noWrap w:val="0"/>
            <w:vAlign w:val="top"/>
          </w:tcPr>
          <w:p>
            <w:pPr>
              <w:spacing w:line="360" w:lineRule="auto"/>
              <w:rPr>
                <w:rFonts w:ascii="宋体" w:hAnsi="宋体" w:cs="宋体"/>
                <w:color w:val="auto"/>
                <w:szCs w:val="21"/>
                <w:highlight w:val="none"/>
              </w:rPr>
            </w:pPr>
          </w:p>
        </w:tc>
        <w:tc>
          <w:tcPr>
            <w:tcW w:w="1396" w:type="dxa"/>
            <w:noWrap w:val="0"/>
            <w:vAlign w:val="top"/>
          </w:tcPr>
          <w:p>
            <w:pPr>
              <w:spacing w:line="360" w:lineRule="auto"/>
              <w:rPr>
                <w:rFonts w:ascii="宋体" w:hAnsi="宋体" w:cs="宋体"/>
                <w:color w:val="auto"/>
                <w:szCs w:val="21"/>
                <w:highlight w:val="none"/>
              </w:rPr>
            </w:pPr>
          </w:p>
        </w:tc>
        <w:tc>
          <w:tcPr>
            <w:tcW w:w="708" w:type="dxa"/>
            <w:noWrap w:val="0"/>
            <w:vAlign w:val="top"/>
          </w:tcPr>
          <w:p>
            <w:pPr>
              <w:spacing w:line="360" w:lineRule="auto"/>
              <w:rPr>
                <w:rFonts w:ascii="宋体" w:hAnsi="宋体" w:cs="宋体"/>
                <w:color w:val="auto"/>
                <w:szCs w:val="21"/>
                <w:highlight w:val="none"/>
              </w:rPr>
            </w:pPr>
          </w:p>
        </w:tc>
        <w:tc>
          <w:tcPr>
            <w:tcW w:w="1910" w:type="dxa"/>
            <w:noWrap w:val="0"/>
            <w:vAlign w:val="top"/>
          </w:tcPr>
          <w:p>
            <w:pPr>
              <w:spacing w:line="360" w:lineRule="auto"/>
              <w:rPr>
                <w:rFonts w:ascii="宋体" w:hAnsi="宋体" w:cs="宋体"/>
                <w:color w:val="auto"/>
                <w:szCs w:val="21"/>
                <w:highlight w:val="none"/>
              </w:rPr>
            </w:pPr>
          </w:p>
        </w:tc>
        <w:tc>
          <w:tcPr>
            <w:tcW w:w="698" w:type="dxa"/>
            <w:noWrap w:val="0"/>
            <w:vAlign w:val="top"/>
          </w:tcPr>
          <w:p>
            <w:pPr>
              <w:spacing w:line="360" w:lineRule="auto"/>
              <w:rPr>
                <w:rFonts w:ascii="宋体" w:hAnsi="宋体" w:cs="宋体"/>
                <w:color w:val="auto"/>
                <w:szCs w:val="21"/>
                <w:highlight w:val="none"/>
              </w:rPr>
            </w:pPr>
          </w:p>
        </w:tc>
      </w:tr>
    </w:tbl>
    <w:p>
      <w:pPr>
        <w:spacing w:before="156" w:beforeLines="50" w:line="360" w:lineRule="auto"/>
        <w:rPr>
          <w:rFonts w:ascii="宋体" w:hAnsi="宋体" w:cs="宋体"/>
          <w:b/>
          <w:bCs/>
          <w:color w:val="auto"/>
          <w:szCs w:val="21"/>
          <w:highlight w:val="none"/>
        </w:rPr>
      </w:pPr>
      <w:r>
        <w:rPr>
          <w:rFonts w:hint="eastAsia" w:ascii="宋体" w:hAnsi="宋体" w:cs="宋体"/>
          <w:b/>
          <w:color w:val="auto"/>
          <w:szCs w:val="21"/>
          <w:highlight w:val="none"/>
        </w:rPr>
        <w:t>注：投标人所投货物，按用户需求书中的清单顺序填写。同时按要求填写清楚货物的品牌、产地、</w:t>
      </w:r>
      <w:r>
        <w:rPr>
          <w:rFonts w:hint="eastAsia" w:ascii="宋体" w:hAnsi="宋体" w:cs="宋体"/>
          <w:b/>
          <w:bCs/>
          <w:color w:val="auto"/>
          <w:szCs w:val="21"/>
          <w:highlight w:val="none"/>
        </w:rPr>
        <w:t>规格及型号。</w:t>
      </w:r>
    </w:p>
    <w:p>
      <w:pPr>
        <w:rPr>
          <w:rFonts w:ascii="Times New Roman" w:hAnsi="Times New Roman"/>
          <w:color w:val="auto"/>
          <w:sz w:val="22"/>
          <w:szCs w:val="22"/>
          <w:highlight w:val="none"/>
        </w:rPr>
      </w:pPr>
    </w:p>
    <w:p>
      <w:pPr>
        <w:rPr>
          <w:rFonts w:ascii="Times New Roman" w:hAnsi="Times New Roman"/>
          <w:color w:val="auto"/>
          <w:sz w:val="22"/>
          <w:szCs w:val="22"/>
          <w:highlight w:val="none"/>
        </w:rPr>
      </w:pPr>
    </w:p>
    <w:p>
      <w:pPr>
        <w:spacing w:line="560" w:lineRule="exact"/>
        <w:rPr>
          <w:rFonts w:ascii="Times New Roman" w:hAnsi="Times New Roman"/>
          <w:color w:val="auto"/>
          <w:sz w:val="22"/>
          <w:szCs w:val="22"/>
          <w:highlight w:val="none"/>
        </w:rPr>
      </w:pPr>
      <w:r>
        <w:rPr>
          <w:rFonts w:ascii="Times New Roman" w:hAnsi="Times New Roman"/>
          <w:color w:val="auto"/>
          <w:sz w:val="22"/>
          <w:szCs w:val="22"/>
          <w:highlight w:val="none"/>
        </w:rPr>
        <w:t>投标人名称（公章）：</w:t>
      </w:r>
    </w:p>
    <w:p>
      <w:pPr>
        <w:spacing w:line="560" w:lineRule="exact"/>
        <w:rPr>
          <w:rFonts w:ascii="Times New Roman" w:hAnsi="Times New Roman"/>
          <w:color w:val="auto"/>
          <w:sz w:val="22"/>
          <w:szCs w:val="22"/>
          <w:highlight w:val="none"/>
        </w:rPr>
      </w:pPr>
      <w:r>
        <w:rPr>
          <w:rFonts w:ascii="Times New Roman" w:hAnsi="Times New Roman"/>
          <w:color w:val="auto"/>
          <w:sz w:val="22"/>
          <w:szCs w:val="22"/>
          <w:highlight w:val="none"/>
        </w:rPr>
        <w:t>投标人法定代表人或受委托人（签名或盖私章）：</w:t>
      </w:r>
    </w:p>
    <w:p>
      <w:pPr>
        <w:pStyle w:val="149"/>
        <w:spacing w:line="560" w:lineRule="exact"/>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日　　　期：</w:t>
      </w:r>
    </w:p>
    <w:p>
      <w:pPr>
        <w:rPr>
          <w:color w:val="auto"/>
          <w:highlight w:val="none"/>
        </w:rPr>
      </w:pPr>
      <w:r>
        <w:rPr>
          <w:rFonts w:ascii="Times New Roman" w:hAnsi="Times New Roman"/>
          <w:color w:val="auto"/>
          <w:sz w:val="22"/>
          <w:szCs w:val="22"/>
          <w:highlight w:val="none"/>
        </w:rPr>
        <w:br w:type="page"/>
      </w:r>
    </w:p>
    <w:p>
      <w:pPr>
        <w:pStyle w:val="5"/>
        <w:numPr>
          <w:ilvl w:val="0"/>
          <w:numId w:val="0"/>
        </w:numPr>
        <w:jc w:val="center"/>
        <w:rPr>
          <w:rFonts w:hint="eastAsia" w:ascii="宋体" w:hAnsi="宋体" w:eastAsia="宋体" w:cs="Times New Roman"/>
          <w:b/>
          <w:bCs w:val="0"/>
          <w:color w:val="auto"/>
          <w:kern w:val="2"/>
          <w:sz w:val="24"/>
          <w:szCs w:val="24"/>
          <w:highlight w:val="none"/>
          <w:lang w:val="en-US" w:eastAsia="zh-CN" w:bidi="ar-SA"/>
        </w:rPr>
      </w:pPr>
      <w:bookmarkStart w:id="262" w:name="_Toc439325725"/>
      <w:bookmarkStart w:id="263" w:name="_Toc441844129"/>
      <w:bookmarkStart w:id="264" w:name="_Toc61529881"/>
      <w:r>
        <w:rPr>
          <w:rFonts w:hint="eastAsia" w:ascii="宋体" w:hAnsi="宋体" w:eastAsia="宋体" w:cs="Times New Roman"/>
          <w:b/>
          <w:bCs w:val="0"/>
          <w:color w:val="auto"/>
          <w:kern w:val="2"/>
          <w:sz w:val="24"/>
          <w:szCs w:val="24"/>
          <w:highlight w:val="none"/>
          <w:lang w:val="en-US" w:eastAsia="zh-CN" w:bidi="ar-SA"/>
        </w:rPr>
        <w:t>13、用户需求偏离表</w:t>
      </w:r>
      <w:bookmarkEnd w:id="262"/>
      <w:bookmarkEnd w:id="263"/>
      <w:bookmarkEnd w:id="264"/>
    </w:p>
    <w:p>
      <w:pPr>
        <w:spacing w:line="560" w:lineRule="exact"/>
        <w:rPr>
          <w:rFonts w:ascii="宋体" w:hAnsi="宋体"/>
          <w:color w:val="auto"/>
          <w:sz w:val="22"/>
          <w:szCs w:val="22"/>
          <w:highlight w:val="none"/>
          <w:u w:val="single"/>
        </w:rPr>
      </w:pPr>
      <w:r>
        <w:rPr>
          <w:rFonts w:hint="eastAsia" w:ascii="宋体" w:hAnsi="宋体"/>
          <w:color w:val="auto"/>
          <w:sz w:val="22"/>
          <w:szCs w:val="22"/>
          <w:highlight w:val="none"/>
        </w:rPr>
        <w:t>项目名称：</w:t>
      </w:r>
      <w:r>
        <w:rPr>
          <w:rFonts w:ascii="宋体" w:hAnsi="宋体"/>
          <w:color w:val="auto"/>
          <w:sz w:val="22"/>
          <w:szCs w:val="22"/>
          <w:highlight w:val="none"/>
        </w:rPr>
        <w:t xml:space="preserve">                       </w:t>
      </w:r>
      <w:r>
        <w:rPr>
          <w:rFonts w:hint="eastAsia" w:ascii="宋体" w:hAnsi="宋体"/>
          <w:color w:val="auto"/>
          <w:sz w:val="22"/>
          <w:szCs w:val="22"/>
          <w:highlight w:val="none"/>
        </w:rPr>
        <w:t>项目编号：</w:t>
      </w:r>
      <w:r>
        <w:rPr>
          <w:rFonts w:ascii="宋体" w:hAnsi="宋体"/>
          <w:color w:val="auto"/>
          <w:sz w:val="22"/>
          <w:szCs w:val="22"/>
          <w:highlight w:val="none"/>
        </w:rPr>
        <w:t xml:space="preserve">          </w:t>
      </w:r>
      <w:r>
        <w:rPr>
          <w:rFonts w:hint="eastAsia" w:ascii="宋体" w:hAnsi="宋体"/>
          <w:color w:val="auto"/>
          <w:sz w:val="22"/>
          <w:szCs w:val="22"/>
          <w:highlight w:val="none"/>
        </w:rPr>
        <w:t>包号：</w:t>
      </w:r>
    </w:p>
    <w:tbl>
      <w:tblPr>
        <w:tblStyle w:val="51"/>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15"/>
        <w:gridCol w:w="2126"/>
        <w:gridCol w:w="1462"/>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Merge w:val="restart"/>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序号</w:t>
            </w:r>
          </w:p>
        </w:tc>
        <w:tc>
          <w:tcPr>
            <w:tcW w:w="3241" w:type="dxa"/>
            <w:gridSpan w:val="2"/>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招标文件要求</w:t>
            </w:r>
          </w:p>
        </w:tc>
        <w:tc>
          <w:tcPr>
            <w:tcW w:w="5148" w:type="dxa"/>
            <w:gridSpan w:val="3"/>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vMerge w:val="continue"/>
            <w:noWrap w:val="0"/>
            <w:vAlign w:val="center"/>
          </w:tcPr>
          <w:p>
            <w:pPr>
              <w:spacing w:line="400" w:lineRule="exact"/>
              <w:jc w:val="center"/>
              <w:rPr>
                <w:rFonts w:hAnsi="宋体"/>
                <w:color w:val="auto"/>
                <w:szCs w:val="21"/>
                <w:highlight w:val="none"/>
              </w:rPr>
            </w:pPr>
          </w:p>
        </w:tc>
        <w:tc>
          <w:tcPr>
            <w:tcW w:w="1115" w:type="dxa"/>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条款号</w:t>
            </w:r>
          </w:p>
        </w:tc>
        <w:tc>
          <w:tcPr>
            <w:tcW w:w="2126" w:type="dxa"/>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简要内容</w:t>
            </w:r>
          </w:p>
        </w:tc>
        <w:tc>
          <w:tcPr>
            <w:tcW w:w="1462" w:type="dxa"/>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偏离情况</w:t>
            </w:r>
          </w:p>
        </w:tc>
        <w:tc>
          <w:tcPr>
            <w:tcW w:w="2410" w:type="dxa"/>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具体偏离内容</w:t>
            </w:r>
          </w:p>
        </w:tc>
        <w:tc>
          <w:tcPr>
            <w:tcW w:w="1276" w:type="dxa"/>
            <w:noWrap w:val="0"/>
            <w:vAlign w:val="top"/>
          </w:tcPr>
          <w:p>
            <w:pPr>
              <w:spacing w:line="400" w:lineRule="exact"/>
              <w:jc w:val="center"/>
              <w:rPr>
                <w:rFonts w:hAnsi="宋体"/>
                <w:color w:val="auto"/>
                <w:szCs w:val="21"/>
                <w:highlight w:val="none"/>
              </w:rPr>
            </w:pPr>
            <w:r>
              <w:rPr>
                <w:rFonts w:hint="eastAsia" w:hAnsi="宋体" w:cs="宋体"/>
                <w:color w:val="auto"/>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836" w:type="dxa"/>
            <w:noWrap w:val="0"/>
            <w:vAlign w:val="center"/>
          </w:tcPr>
          <w:p>
            <w:pPr>
              <w:spacing w:line="360" w:lineRule="auto"/>
              <w:jc w:val="center"/>
              <w:rPr>
                <w:rFonts w:hAnsi="宋体"/>
                <w:color w:val="auto"/>
                <w:szCs w:val="21"/>
                <w:highlight w:val="none"/>
              </w:rPr>
            </w:pPr>
          </w:p>
        </w:tc>
        <w:tc>
          <w:tcPr>
            <w:tcW w:w="1115" w:type="dxa"/>
            <w:noWrap w:val="0"/>
            <w:vAlign w:val="center"/>
          </w:tcPr>
          <w:p>
            <w:pPr>
              <w:spacing w:line="360" w:lineRule="auto"/>
              <w:jc w:val="center"/>
              <w:rPr>
                <w:rFonts w:hAnsi="宋体"/>
                <w:color w:val="auto"/>
                <w:szCs w:val="21"/>
                <w:highlight w:val="none"/>
              </w:rPr>
            </w:pPr>
          </w:p>
        </w:tc>
        <w:tc>
          <w:tcPr>
            <w:tcW w:w="2126" w:type="dxa"/>
            <w:noWrap w:val="0"/>
            <w:vAlign w:val="center"/>
          </w:tcPr>
          <w:p>
            <w:pPr>
              <w:spacing w:line="400" w:lineRule="exact"/>
              <w:jc w:val="center"/>
              <w:rPr>
                <w:rFonts w:hAnsi="宋体"/>
                <w:color w:val="auto"/>
                <w:szCs w:val="21"/>
                <w:highlight w:val="none"/>
              </w:rPr>
            </w:pPr>
          </w:p>
        </w:tc>
        <w:tc>
          <w:tcPr>
            <w:tcW w:w="1462" w:type="dxa"/>
            <w:noWrap w:val="0"/>
            <w:vAlign w:val="center"/>
          </w:tcPr>
          <w:p>
            <w:pPr>
              <w:spacing w:line="360" w:lineRule="auto"/>
              <w:jc w:val="center"/>
              <w:rPr>
                <w:rFonts w:hAnsi="宋体"/>
                <w:color w:val="auto"/>
                <w:szCs w:val="21"/>
                <w:highlight w:val="none"/>
              </w:rPr>
            </w:pPr>
          </w:p>
        </w:tc>
        <w:tc>
          <w:tcPr>
            <w:tcW w:w="2410" w:type="dxa"/>
            <w:noWrap w:val="0"/>
            <w:vAlign w:val="center"/>
          </w:tcPr>
          <w:p>
            <w:pPr>
              <w:spacing w:line="360" w:lineRule="auto"/>
              <w:jc w:val="center"/>
              <w:rPr>
                <w:rFonts w:hAnsi="宋体"/>
                <w:color w:val="auto"/>
                <w:szCs w:val="21"/>
                <w:highlight w:val="none"/>
              </w:rPr>
            </w:pPr>
          </w:p>
        </w:tc>
        <w:tc>
          <w:tcPr>
            <w:tcW w:w="1276"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noWrap w:val="0"/>
            <w:vAlign w:val="center"/>
          </w:tcPr>
          <w:p>
            <w:pPr>
              <w:spacing w:line="360" w:lineRule="auto"/>
              <w:jc w:val="center"/>
              <w:rPr>
                <w:rFonts w:hAnsi="宋体"/>
                <w:color w:val="auto"/>
                <w:szCs w:val="21"/>
                <w:highlight w:val="none"/>
              </w:rPr>
            </w:pPr>
          </w:p>
        </w:tc>
        <w:tc>
          <w:tcPr>
            <w:tcW w:w="1115" w:type="dxa"/>
            <w:noWrap w:val="0"/>
            <w:vAlign w:val="center"/>
          </w:tcPr>
          <w:p>
            <w:pPr>
              <w:spacing w:line="360" w:lineRule="auto"/>
              <w:jc w:val="center"/>
              <w:rPr>
                <w:rFonts w:hAnsi="宋体"/>
                <w:color w:val="auto"/>
                <w:szCs w:val="21"/>
                <w:highlight w:val="none"/>
              </w:rPr>
            </w:pPr>
          </w:p>
        </w:tc>
        <w:tc>
          <w:tcPr>
            <w:tcW w:w="2126" w:type="dxa"/>
            <w:noWrap w:val="0"/>
            <w:vAlign w:val="center"/>
          </w:tcPr>
          <w:p>
            <w:pPr>
              <w:spacing w:line="400" w:lineRule="exact"/>
              <w:jc w:val="center"/>
              <w:rPr>
                <w:rFonts w:hAnsi="宋体"/>
                <w:color w:val="auto"/>
                <w:szCs w:val="21"/>
                <w:highlight w:val="none"/>
              </w:rPr>
            </w:pPr>
          </w:p>
        </w:tc>
        <w:tc>
          <w:tcPr>
            <w:tcW w:w="1462" w:type="dxa"/>
            <w:noWrap w:val="0"/>
            <w:vAlign w:val="center"/>
          </w:tcPr>
          <w:p>
            <w:pPr>
              <w:spacing w:line="360" w:lineRule="auto"/>
              <w:jc w:val="center"/>
              <w:rPr>
                <w:rFonts w:hAnsi="宋体"/>
                <w:color w:val="auto"/>
                <w:szCs w:val="21"/>
                <w:highlight w:val="none"/>
              </w:rPr>
            </w:pPr>
          </w:p>
        </w:tc>
        <w:tc>
          <w:tcPr>
            <w:tcW w:w="2410" w:type="dxa"/>
            <w:noWrap w:val="0"/>
            <w:vAlign w:val="center"/>
          </w:tcPr>
          <w:p>
            <w:pPr>
              <w:spacing w:line="360" w:lineRule="auto"/>
              <w:jc w:val="center"/>
              <w:rPr>
                <w:rFonts w:hAnsi="宋体"/>
                <w:color w:val="auto"/>
                <w:szCs w:val="21"/>
                <w:highlight w:val="none"/>
              </w:rPr>
            </w:pPr>
          </w:p>
        </w:tc>
        <w:tc>
          <w:tcPr>
            <w:tcW w:w="1276"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noWrap w:val="0"/>
            <w:vAlign w:val="center"/>
          </w:tcPr>
          <w:p>
            <w:pPr>
              <w:spacing w:line="360" w:lineRule="auto"/>
              <w:jc w:val="center"/>
              <w:rPr>
                <w:rFonts w:hAnsi="宋体"/>
                <w:color w:val="auto"/>
                <w:szCs w:val="21"/>
                <w:highlight w:val="none"/>
              </w:rPr>
            </w:pPr>
          </w:p>
        </w:tc>
        <w:tc>
          <w:tcPr>
            <w:tcW w:w="1115" w:type="dxa"/>
            <w:noWrap w:val="0"/>
            <w:vAlign w:val="center"/>
          </w:tcPr>
          <w:p>
            <w:pPr>
              <w:spacing w:line="360" w:lineRule="auto"/>
              <w:jc w:val="center"/>
              <w:rPr>
                <w:rFonts w:hAnsi="宋体"/>
                <w:color w:val="auto"/>
                <w:szCs w:val="21"/>
                <w:highlight w:val="none"/>
              </w:rPr>
            </w:pPr>
          </w:p>
        </w:tc>
        <w:tc>
          <w:tcPr>
            <w:tcW w:w="2126" w:type="dxa"/>
            <w:noWrap w:val="0"/>
            <w:vAlign w:val="center"/>
          </w:tcPr>
          <w:p>
            <w:pPr>
              <w:spacing w:line="400" w:lineRule="exact"/>
              <w:jc w:val="center"/>
              <w:rPr>
                <w:rFonts w:hAnsi="宋体"/>
                <w:color w:val="auto"/>
                <w:szCs w:val="21"/>
                <w:highlight w:val="none"/>
              </w:rPr>
            </w:pPr>
          </w:p>
        </w:tc>
        <w:tc>
          <w:tcPr>
            <w:tcW w:w="1462" w:type="dxa"/>
            <w:noWrap w:val="0"/>
            <w:vAlign w:val="center"/>
          </w:tcPr>
          <w:p>
            <w:pPr>
              <w:spacing w:line="360" w:lineRule="auto"/>
              <w:jc w:val="center"/>
              <w:rPr>
                <w:rFonts w:hAnsi="宋体"/>
                <w:color w:val="auto"/>
                <w:szCs w:val="21"/>
                <w:highlight w:val="none"/>
              </w:rPr>
            </w:pPr>
          </w:p>
        </w:tc>
        <w:tc>
          <w:tcPr>
            <w:tcW w:w="2410" w:type="dxa"/>
            <w:noWrap w:val="0"/>
            <w:vAlign w:val="center"/>
          </w:tcPr>
          <w:p>
            <w:pPr>
              <w:spacing w:line="360" w:lineRule="auto"/>
              <w:jc w:val="center"/>
              <w:rPr>
                <w:rFonts w:hAnsi="宋体"/>
                <w:color w:val="auto"/>
                <w:szCs w:val="21"/>
                <w:highlight w:val="none"/>
              </w:rPr>
            </w:pPr>
          </w:p>
        </w:tc>
        <w:tc>
          <w:tcPr>
            <w:tcW w:w="1276" w:type="dxa"/>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6" w:type="dxa"/>
            <w:noWrap w:val="0"/>
            <w:vAlign w:val="center"/>
          </w:tcPr>
          <w:p>
            <w:pPr>
              <w:spacing w:line="360" w:lineRule="auto"/>
              <w:jc w:val="center"/>
              <w:rPr>
                <w:rFonts w:hAnsi="宋体"/>
                <w:color w:val="auto"/>
                <w:szCs w:val="21"/>
                <w:highlight w:val="none"/>
              </w:rPr>
            </w:pPr>
          </w:p>
        </w:tc>
        <w:tc>
          <w:tcPr>
            <w:tcW w:w="1115" w:type="dxa"/>
            <w:noWrap w:val="0"/>
            <w:vAlign w:val="center"/>
          </w:tcPr>
          <w:p>
            <w:pPr>
              <w:spacing w:line="360" w:lineRule="auto"/>
              <w:jc w:val="center"/>
              <w:rPr>
                <w:rFonts w:hAnsi="宋体"/>
                <w:color w:val="auto"/>
                <w:szCs w:val="21"/>
                <w:highlight w:val="none"/>
              </w:rPr>
            </w:pPr>
          </w:p>
        </w:tc>
        <w:tc>
          <w:tcPr>
            <w:tcW w:w="2126" w:type="dxa"/>
            <w:noWrap w:val="0"/>
            <w:vAlign w:val="center"/>
          </w:tcPr>
          <w:p>
            <w:pPr>
              <w:spacing w:line="400" w:lineRule="exact"/>
              <w:jc w:val="center"/>
              <w:rPr>
                <w:rFonts w:hAnsi="宋体"/>
                <w:color w:val="auto"/>
                <w:szCs w:val="21"/>
                <w:highlight w:val="none"/>
              </w:rPr>
            </w:pPr>
          </w:p>
        </w:tc>
        <w:tc>
          <w:tcPr>
            <w:tcW w:w="1462" w:type="dxa"/>
            <w:noWrap w:val="0"/>
            <w:vAlign w:val="center"/>
          </w:tcPr>
          <w:p>
            <w:pPr>
              <w:spacing w:line="360" w:lineRule="auto"/>
              <w:jc w:val="center"/>
              <w:rPr>
                <w:rFonts w:hAnsi="宋体"/>
                <w:color w:val="auto"/>
                <w:szCs w:val="21"/>
                <w:highlight w:val="none"/>
              </w:rPr>
            </w:pPr>
          </w:p>
        </w:tc>
        <w:tc>
          <w:tcPr>
            <w:tcW w:w="2410" w:type="dxa"/>
            <w:noWrap w:val="0"/>
            <w:vAlign w:val="center"/>
          </w:tcPr>
          <w:p>
            <w:pPr>
              <w:spacing w:line="360" w:lineRule="auto"/>
              <w:jc w:val="center"/>
              <w:rPr>
                <w:rFonts w:hAnsi="宋体"/>
                <w:color w:val="auto"/>
                <w:szCs w:val="21"/>
                <w:highlight w:val="none"/>
              </w:rPr>
            </w:pPr>
          </w:p>
        </w:tc>
        <w:tc>
          <w:tcPr>
            <w:tcW w:w="1276" w:type="dxa"/>
            <w:noWrap w:val="0"/>
            <w:vAlign w:val="center"/>
          </w:tcPr>
          <w:p>
            <w:pPr>
              <w:spacing w:line="360" w:lineRule="auto"/>
              <w:jc w:val="center"/>
              <w:rPr>
                <w:rFonts w:hAnsi="宋体"/>
                <w:color w:val="auto"/>
                <w:szCs w:val="21"/>
                <w:highlight w:val="none"/>
              </w:rPr>
            </w:pPr>
          </w:p>
        </w:tc>
      </w:tr>
    </w:tbl>
    <w:p>
      <w:pPr>
        <w:spacing w:line="360" w:lineRule="auto"/>
        <w:ind w:left="1047" w:leftChars="132" w:hanging="770" w:hangingChars="350"/>
        <w:rPr>
          <w:rFonts w:ascii="宋体" w:hAnsi="宋体"/>
          <w:color w:val="auto"/>
          <w:sz w:val="22"/>
          <w:szCs w:val="22"/>
          <w:highlight w:val="none"/>
        </w:rPr>
      </w:pPr>
      <w:r>
        <w:rPr>
          <w:rFonts w:hint="eastAsia" w:ascii="宋体" w:hAnsi="宋体"/>
          <w:color w:val="auto"/>
          <w:sz w:val="22"/>
          <w:szCs w:val="22"/>
          <w:highlight w:val="none"/>
        </w:rPr>
        <w:t>备注：</w:t>
      </w:r>
    </w:p>
    <w:p>
      <w:pPr>
        <w:spacing w:line="360" w:lineRule="auto"/>
        <w:ind w:left="718" w:leftChars="59" w:hanging="594" w:hangingChars="27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w:t>
      </w:r>
      <w:r>
        <w:rPr>
          <w:rFonts w:hint="eastAsia" w:ascii="宋体" w:hAnsi="宋体"/>
          <w:b/>
          <w:color w:val="auto"/>
          <w:sz w:val="22"/>
          <w:szCs w:val="22"/>
          <w:highlight w:val="none"/>
          <w:u w:val="single"/>
        </w:rPr>
        <w:t>投标人应对照招标文件用户需求书（其中“</w:t>
      </w:r>
      <w:r>
        <w:rPr>
          <w:rFonts w:ascii="宋体" w:hAnsi="宋体"/>
          <w:b/>
          <w:color w:val="auto"/>
          <w:sz w:val="22"/>
          <w:szCs w:val="22"/>
          <w:highlight w:val="none"/>
          <w:u w:val="single"/>
        </w:rPr>
        <w:t>1.</w:t>
      </w:r>
      <w:r>
        <w:rPr>
          <w:rFonts w:ascii="宋体" w:hAnsi="宋体"/>
          <w:b/>
          <w:color w:val="auto"/>
          <w:sz w:val="22"/>
          <w:szCs w:val="22"/>
          <w:highlight w:val="none"/>
          <w:u w:val="single"/>
        </w:rPr>
        <w:tab/>
      </w:r>
      <w:r>
        <w:rPr>
          <w:rFonts w:hint="eastAsia" w:ascii="宋体" w:hAnsi="宋体"/>
          <w:b/>
          <w:color w:val="auto"/>
          <w:sz w:val="22"/>
          <w:szCs w:val="22"/>
          <w:highlight w:val="none"/>
          <w:u w:val="single"/>
        </w:rPr>
        <w:t>项目概况”除外）的响应，逐条逐项、如实地填写“偏离情况”，若发现未填写本表，或虚假填写本表，或伪造、变造证明材料的，按无效投标文件处理</w:t>
      </w:r>
      <w:r>
        <w:rPr>
          <w:rFonts w:hint="eastAsia" w:ascii="宋体" w:hAnsi="宋体"/>
          <w:color w:val="auto"/>
          <w:sz w:val="22"/>
          <w:szCs w:val="22"/>
          <w:highlight w:val="none"/>
        </w:rPr>
        <w:t>。</w:t>
      </w:r>
    </w:p>
    <w:p>
      <w:pPr>
        <w:spacing w:line="360" w:lineRule="auto"/>
        <w:ind w:left="718" w:leftChars="59" w:hanging="594" w:hangingChars="27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偏离情况分为：正偏离、负偏离、无偏离。正偏离是指投标人提供的服务优于招标文件的要求；负偏离是指投标人提供的服务不满足或不完全满足招标文件的要求；无偏离是指投标人提供的服务完全满足招标文件的要求。</w:t>
      </w:r>
    </w:p>
    <w:p>
      <w:pPr>
        <w:spacing w:line="360" w:lineRule="auto"/>
        <w:ind w:left="718" w:leftChars="59" w:hanging="594" w:hangingChars="270"/>
        <w:rPr>
          <w:rFonts w:ascii="宋体" w:hAnsi="宋体"/>
          <w:b/>
          <w:color w:val="auto"/>
          <w:sz w:val="22"/>
          <w:szCs w:val="22"/>
          <w:highlight w:val="none"/>
          <w:u w:val="singl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w:t>
      </w:r>
      <w:r>
        <w:rPr>
          <w:rFonts w:hint="eastAsia" w:ascii="宋体" w:hAnsi="宋体"/>
          <w:b/>
          <w:color w:val="auto"/>
          <w:sz w:val="22"/>
          <w:szCs w:val="22"/>
          <w:highlight w:val="none"/>
          <w:u w:val="single"/>
        </w:rPr>
        <w:t>“偏离情况”项为正偏离（或负偏离）的，必须在“具体偏离内容”项内详细说明与招标文件的偏离内容，“偏离情况”项为无偏离的，在“具体偏离内容”项内填“无”或不填写。如投标人差异内容较多可另附页说明，并在本偏离表注明其在投标文件中的具体页码。</w:t>
      </w:r>
    </w:p>
    <w:p>
      <w:pPr>
        <w:pStyle w:val="99"/>
        <w:spacing w:line="480" w:lineRule="auto"/>
        <w:ind w:left="3969" w:leftChars="1890" w:firstLine="891" w:firstLineChars="405"/>
        <w:rPr>
          <w:rFonts w:ascii="宋体" w:eastAsia="宋体"/>
          <w:sz w:val="22"/>
          <w:szCs w:val="22"/>
          <w:u w:val="single"/>
        </w:rPr>
      </w:pPr>
      <w:r>
        <w:rPr>
          <w:rFonts w:hint="eastAsia" w:ascii="宋体" w:eastAsia="宋体"/>
          <w:sz w:val="22"/>
          <w:szCs w:val="22"/>
        </w:rPr>
        <w:t xml:space="preserve">投标人名称（加盖公章）： </w:t>
      </w:r>
      <w:r>
        <w:rPr>
          <w:rFonts w:hint="eastAsia" w:ascii="宋体" w:eastAsia="宋体"/>
          <w:sz w:val="22"/>
          <w:szCs w:val="22"/>
          <w:u w:val="single"/>
        </w:rPr>
        <w:t xml:space="preserve">                </w:t>
      </w:r>
    </w:p>
    <w:p>
      <w:pPr>
        <w:pStyle w:val="99"/>
        <w:spacing w:line="480" w:lineRule="auto"/>
        <w:ind w:left="3969" w:leftChars="1890" w:firstLine="891" w:firstLineChars="405"/>
        <w:rPr>
          <w:rFonts w:ascii="宋体" w:eastAsia="宋体"/>
          <w:sz w:val="22"/>
          <w:szCs w:val="22"/>
          <w:u w:val="single"/>
        </w:rPr>
      </w:pPr>
      <w:r>
        <w:rPr>
          <w:rFonts w:hint="eastAsia" w:ascii="宋体" w:eastAsia="宋体"/>
          <w:sz w:val="22"/>
          <w:szCs w:val="22"/>
        </w:rPr>
        <w:t>日</w:t>
      </w:r>
      <w:r>
        <w:rPr>
          <w:rFonts w:ascii="宋体" w:eastAsia="宋体"/>
          <w:sz w:val="22"/>
          <w:szCs w:val="22"/>
        </w:rPr>
        <w:t xml:space="preserve">  </w:t>
      </w:r>
      <w:r>
        <w:rPr>
          <w:rFonts w:hint="eastAsia" w:ascii="宋体" w:eastAsia="宋体"/>
          <w:sz w:val="22"/>
          <w:szCs w:val="22"/>
        </w:rPr>
        <w:t>期：</w:t>
      </w:r>
      <w:r>
        <w:rPr>
          <w:rFonts w:hint="eastAsia" w:ascii="宋体" w:eastAsia="宋体"/>
          <w:sz w:val="22"/>
          <w:szCs w:val="22"/>
          <w:u w:val="single"/>
        </w:rPr>
        <w:t xml:space="preserve">          年         月       日</w:t>
      </w:r>
    </w:p>
    <w:p>
      <w:pPr>
        <w:widowControl/>
        <w:ind w:firstLine="5280" w:firstLineChars="2400"/>
        <w:jc w:val="left"/>
        <w:rPr>
          <w:rFonts w:ascii="宋体" w:hAnsi="宋体"/>
          <w:sz w:val="22"/>
          <w:szCs w:val="22"/>
        </w:rPr>
      </w:pPr>
      <w:r>
        <w:rPr>
          <w:rFonts w:ascii="宋体" w:hAnsi="宋体"/>
          <w:sz w:val="22"/>
          <w:szCs w:val="22"/>
        </w:rPr>
        <w:br w:type="page"/>
      </w:r>
    </w:p>
    <w:p>
      <w:pPr>
        <w:pStyle w:val="5"/>
        <w:numPr>
          <w:ilvl w:val="0"/>
          <w:numId w:val="0"/>
        </w:numPr>
        <w:jc w:val="center"/>
        <w:rPr>
          <w:rFonts w:hint="eastAsia" w:ascii="宋体" w:hAnsi="宋体" w:eastAsia="宋体" w:cs="Times New Roman"/>
          <w:b/>
          <w:bCs w:val="0"/>
          <w:color w:val="auto"/>
          <w:kern w:val="2"/>
          <w:sz w:val="24"/>
          <w:szCs w:val="24"/>
          <w:highlight w:val="none"/>
          <w:lang w:val="en-US" w:eastAsia="zh-CN" w:bidi="ar-SA"/>
        </w:rPr>
      </w:pPr>
      <w:bookmarkStart w:id="265" w:name="_Toc61529882"/>
      <w:bookmarkStart w:id="266" w:name="_Toc439325726"/>
      <w:bookmarkStart w:id="267" w:name="_Toc441844130"/>
      <w:r>
        <w:rPr>
          <w:rFonts w:hint="eastAsia" w:ascii="宋体" w:hAnsi="宋体" w:eastAsia="宋体" w:cs="Times New Roman"/>
          <w:b/>
          <w:bCs w:val="0"/>
          <w:color w:val="auto"/>
          <w:kern w:val="2"/>
          <w:sz w:val="24"/>
          <w:szCs w:val="24"/>
          <w:highlight w:val="none"/>
          <w:lang w:val="en-US" w:eastAsia="zh-CN" w:bidi="ar-SA"/>
        </w:rPr>
        <w:t>14、★号条款响应表</w:t>
      </w:r>
      <w:bookmarkEnd w:id="265"/>
      <w:bookmarkEnd w:id="266"/>
      <w:bookmarkEnd w:id="267"/>
    </w:p>
    <w:p>
      <w:pPr>
        <w:spacing w:line="560" w:lineRule="exact"/>
        <w:rPr>
          <w:rFonts w:ascii="Times New Roman" w:hAnsi="Times New Roman"/>
          <w:color w:val="auto"/>
          <w:sz w:val="22"/>
          <w:szCs w:val="22"/>
          <w:highlight w:val="none"/>
        </w:rPr>
      </w:pPr>
      <w:r>
        <w:rPr>
          <w:rFonts w:hint="eastAsia" w:ascii="Times New Roman" w:hAnsi="Times New Roman"/>
          <w:color w:val="auto"/>
          <w:sz w:val="22"/>
          <w:szCs w:val="22"/>
          <w:highlight w:val="none"/>
        </w:rPr>
        <w:t>项目</w:t>
      </w:r>
      <w:r>
        <w:rPr>
          <w:rFonts w:ascii="Times New Roman" w:hAnsi="Times New Roman"/>
          <w:color w:val="auto"/>
          <w:sz w:val="22"/>
          <w:szCs w:val="22"/>
          <w:highlight w:val="none"/>
        </w:rPr>
        <w:t xml:space="preserve">名称：                       　        </w:t>
      </w:r>
      <w:r>
        <w:rPr>
          <w:rFonts w:hint="eastAsia" w:ascii="Times New Roman" w:hAnsi="Times New Roman"/>
          <w:color w:val="auto"/>
          <w:sz w:val="22"/>
          <w:szCs w:val="22"/>
          <w:highlight w:val="none"/>
        </w:rPr>
        <w:t>项目</w:t>
      </w:r>
      <w:r>
        <w:rPr>
          <w:rFonts w:ascii="Times New Roman" w:hAnsi="Times New Roman"/>
          <w:color w:val="auto"/>
          <w:sz w:val="22"/>
          <w:szCs w:val="22"/>
          <w:highlight w:val="none"/>
        </w:rPr>
        <w:t>编号：</w:t>
      </w:r>
      <w:r>
        <w:rPr>
          <w:rFonts w:hint="eastAsia" w:ascii="Times New Roman" w:hAnsi="Times New Roman"/>
          <w:color w:val="auto"/>
          <w:sz w:val="22"/>
          <w:szCs w:val="22"/>
          <w:highlight w:val="none"/>
        </w:rPr>
        <w:t xml:space="preserve"> </w:t>
      </w:r>
      <w:r>
        <w:rPr>
          <w:rFonts w:ascii="Times New Roman" w:hAnsi="Times New Roman"/>
          <w:color w:val="auto"/>
          <w:sz w:val="22"/>
          <w:szCs w:val="22"/>
          <w:highlight w:val="none"/>
        </w:rPr>
        <w:t xml:space="preserve">             </w:t>
      </w:r>
      <w:r>
        <w:rPr>
          <w:rFonts w:hint="eastAsia" w:ascii="Times New Roman" w:hAnsi="Times New Roman"/>
          <w:color w:val="auto"/>
          <w:sz w:val="22"/>
          <w:szCs w:val="22"/>
          <w:highlight w:val="none"/>
        </w:rPr>
        <w:t>包号：</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19"/>
        <w:gridCol w:w="2513"/>
        <w:gridCol w:w="272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6" w:type="pct"/>
            <w:vMerge w:val="restart"/>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序号</w:t>
            </w:r>
          </w:p>
        </w:tc>
        <w:tc>
          <w:tcPr>
            <w:tcW w:w="2037" w:type="pct"/>
            <w:gridSpan w:val="2"/>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招标文件要求</w:t>
            </w:r>
          </w:p>
        </w:tc>
        <w:tc>
          <w:tcPr>
            <w:tcW w:w="1449" w:type="pct"/>
            <w:vMerge w:val="restart"/>
            <w:noWrap w:val="0"/>
            <w:vAlign w:val="center"/>
          </w:tcPr>
          <w:p>
            <w:pPr>
              <w:spacing w:line="400" w:lineRule="exact"/>
              <w:jc w:val="center"/>
              <w:rPr>
                <w:rFonts w:hAnsi="宋体"/>
                <w:color w:val="auto"/>
                <w:szCs w:val="21"/>
                <w:highlight w:val="none"/>
              </w:rPr>
            </w:pPr>
            <w:bookmarkStart w:id="268" w:name="_Hlk61528856"/>
            <w:r>
              <w:rPr>
                <w:rFonts w:hint="eastAsia" w:hAnsi="宋体"/>
                <w:color w:val="auto"/>
                <w:szCs w:val="21"/>
                <w:highlight w:val="none"/>
              </w:rPr>
              <w:t>投标文件对应内容</w:t>
            </w:r>
            <w:bookmarkEnd w:id="268"/>
          </w:p>
        </w:tc>
        <w:tc>
          <w:tcPr>
            <w:tcW w:w="988" w:type="pct"/>
            <w:vMerge w:val="restart"/>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6" w:type="pct"/>
            <w:vMerge w:val="continue"/>
            <w:noWrap w:val="0"/>
            <w:vAlign w:val="center"/>
          </w:tcPr>
          <w:p>
            <w:pPr>
              <w:spacing w:line="400" w:lineRule="exact"/>
              <w:jc w:val="center"/>
              <w:rPr>
                <w:rFonts w:hAnsi="宋体"/>
                <w:color w:val="auto"/>
                <w:szCs w:val="21"/>
                <w:highlight w:val="none"/>
              </w:rPr>
            </w:pPr>
          </w:p>
        </w:tc>
        <w:tc>
          <w:tcPr>
            <w:tcW w:w="701" w:type="pct"/>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条款号</w:t>
            </w:r>
          </w:p>
        </w:tc>
        <w:tc>
          <w:tcPr>
            <w:tcW w:w="1336" w:type="pct"/>
            <w:noWrap w:val="0"/>
            <w:vAlign w:val="center"/>
          </w:tcPr>
          <w:p>
            <w:pPr>
              <w:spacing w:line="400" w:lineRule="exact"/>
              <w:jc w:val="center"/>
              <w:rPr>
                <w:rFonts w:hAnsi="宋体"/>
                <w:color w:val="auto"/>
                <w:szCs w:val="21"/>
                <w:highlight w:val="none"/>
              </w:rPr>
            </w:pPr>
            <w:r>
              <w:rPr>
                <w:rFonts w:hint="eastAsia" w:hAnsi="宋体"/>
                <w:color w:val="auto"/>
                <w:szCs w:val="21"/>
                <w:highlight w:val="none"/>
              </w:rPr>
              <w:t>招标文件要求</w:t>
            </w:r>
          </w:p>
        </w:tc>
        <w:tc>
          <w:tcPr>
            <w:tcW w:w="1449" w:type="pct"/>
            <w:vMerge w:val="continue"/>
            <w:noWrap w:val="0"/>
            <w:vAlign w:val="center"/>
          </w:tcPr>
          <w:p>
            <w:pPr>
              <w:spacing w:line="400" w:lineRule="exact"/>
              <w:jc w:val="center"/>
              <w:rPr>
                <w:rFonts w:hAnsi="宋体"/>
                <w:color w:val="auto"/>
                <w:szCs w:val="21"/>
                <w:highlight w:val="none"/>
              </w:rPr>
            </w:pPr>
          </w:p>
        </w:tc>
        <w:tc>
          <w:tcPr>
            <w:tcW w:w="988" w:type="pct"/>
            <w:vMerge w:val="continue"/>
            <w:noWrap w:val="0"/>
            <w:vAlign w:val="center"/>
          </w:tcPr>
          <w:p>
            <w:pPr>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526" w:type="pct"/>
            <w:noWrap w:val="0"/>
            <w:vAlign w:val="center"/>
          </w:tcPr>
          <w:p>
            <w:pPr>
              <w:spacing w:line="360" w:lineRule="auto"/>
              <w:jc w:val="center"/>
              <w:rPr>
                <w:rFonts w:hAnsi="宋体"/>
                <w:color w:val="auto"/>
                <w:szCs w:val="21"/>
                <w:highlight w:val="none"/>
              </w:rPr>
            </w:pPr>
            <w:r>
              <w:rPr>
                <w:rFonts w:hAnsi="宋体"/>
                <w:color w:val="auto"/>
                <w:szCs w:val="21"/>
                <w:highlight w:val="none"/>
              </w:rPr>
              <w:t>1</w:t>
            </w:r>
          </w:p>
        </w:tc>
        <w:tc>
          <w:tcPr>
            <w:tcW w:w="701" w:type="pct"/>
            <w:noWrap w:val="0"/>
            <w:vAlign w:val="center"/>
          </w:tcPr>
          <w:p>
            <w:pPr>
              <w:spacing w:line="360" w:lineRule="auto"/>
              <w:jc w:val="center"/>
              <w:rPr>
                <w:rFonts w:hAnsi="宋体"/>
                <w:color w:val="auto"/>
                <w:szCs w:val="21"/>
                <w:highlight w:val="none"/>
              </w:rPr>
            </w:pPr>
          </w:p>
        </w:tc>
        <w:tc>
          <w:tcPr>
            <w:tcW w:w="1336" w:type="pct"/>
            <w:noWrap w:val="0"/>
            <w:vAlign w:val="center"/>
          </w:tcPr>
          <w:p>
            <w:pPr>
              <w:spacing w:line="400" w:lineRule="exact"/>
              <w:jc w:val="center"/>
              <w:rPr>
                <w:rFonts w:hAnsi="宋体"/>
                <w:color w:val="auto"/>
                <w:szCs w:val="21"/>
                <w:highlight w:val="none"/>
              </w:rPr>
            </w:pPr>
          </w:p>
        </w:tc>
        <w:tc>
          <w:tcPr>
            <w:tcW w:w="1449" w:type="pct"/>
            <w:noWrap w:val="0"/>
            <w:vAlign w:val="center"/>
          </w:tcPr>
          <w:p>
            <w:pPr>
              <w:spacing w:line="360" w:lineRule="auto"/>
              <w:jc w:val="center"/>
              <w:rPr>
                <w:rFonts w:hAnsi="宋体"/>
                <w:color w:val="auto"/>
                <w:szCs w:val="21"/>
                <w:highlight w:val="none"/>
              </w:rPr>
            </w:pPr>
          </w:p>
        </w:tc>
        <w:tc>
          <w:tcPr>
            <w:tcW w:w="988" w:type="pct"/>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6" w:type="pct"/>
            <w:noWrap w:val="0"/>
            <w:vAlign w:val="center"/>
          </w:tcPr>
          <w:p>
            <w:pPr>
              <w:spacing w:line="360" w:lineRule="auto"/>
              <w:jc w:val="center"/>
              <w:rPr>
                <w:rFonts w:hAnsi="宋体"/>
                <w:color w:val="auto"/>
                <w:szCs w:val="21"/>
                <w:highlight w:val="none"/>
              </w:rPr>
            </w:pPr>
            <w:r>
              <w:rPr>
                <w:rFonts w:hAnsi="宋体"/>
                <w:color w:val="auto"/>
                <w:szCs w:val="21"/>
                <w:highlight w:val="none"/>
              </w:rPr>
              <w:t>2</w:t>
            </w:r>
          </w:p>
        </w:tc>
        <w:tc>
          <w:tcPr>
            <w:tcW w:w="701" w:type="pct"/>
            <w:noWrap w:val="0"/>
            <w:vAlign w:val="center"/>
          </w:tcPr>
          <w:p>
            <w:pPr>
              <w:spacing w:line="360" w:lineRule="auto"/>
              <w:jc w:val="center"/>
              <w:rPr>
                <w:rFonts w:hAnsi="宋体"/>
                <w:color w:val="auto"/>
                <w:szCs w:val="21"/>
                <w:highlight w:val="none"/>
              </w:rPr>
            </w:pPr>
          </w:p>
        </w:tc>
        <w:tc>
          <w:tcPr>
            <w:tcW w:w="1336" w:type="pct"/>
            <w:noWrap w:val="0"/>
            <w:vAlign w:val="center"/>
          </w:tcPr>
          <w:p>
            <w:pPr>
              <w:spacing w:line="400" w:lineRule="exact"/>
              <w:jc w:val="center"/>
              <w:rPr>
                <w:rFonts w:hAnsi="宋体"/>
                <w:color w:val="auto"/>
                <w:szCs w:val="21"/>
                <w:highlight w:val="none"/>
              </w:rPr>
            </w:pPr>
          </w:p>
        </w:tc>
        <w:tc>
          <w:tcPr>
            <w:tcW w:w="1449" w:type="pct"/>
            <w:noWrap w:val="0"/>
            <w:vAlign w:val="center"/>
          </w:tcPr>
          <w:p>
            <w:pPr>
              <w:spacing w:line="360" w:lineRule="auto"/>
              <w:jc w:val="center"/>
              <w:rPr>
                <w:rFonts w:hAnsi="宋体"/>
                <w:color w:val="auto"/>
                <w:szCs w:val="21"/>
                <w:highlight w:val="none"/>
              </w:rPr>
            </w:pPr>
          </w:p>
        </w:tc>
        <w:tc>
          <w:tcPr>
            <w:tcW w:w="988" w:type="pct"/>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6" w:type="pct"/>
            <w:noWrap w:val="0"/>
            <w:vAlign w:val="center"/>
          </w:tcPr>
          <w:p>
            <w:pPr>
              <w:spacing w:line="360" w:lineRule="auto"/>
              <w:jc w:val="center"/>
              <w:rPr>
                <w:rFonts w:hAnsi="宋体"/>
                <w:color w:val="auto"/>
                <w:szCs w:val="21"/>
                <w:highlight w:val="none"/>
              </w:rPr>
            </w:pPr>
            <w:r>
              <w:rPr>
                <w:rFonts w:hAnsi="宋体"/>
                <w:color w:val="auto"/>
                <w:szCs w:val="21"/>
                <w:highlight w:val="none"/>
              </w:rPr>
              <w:t>3</w:t>
            </w:r>
          </w:p>
        </w:tc>
        <w:tc>
          <w:tcPr>
            <w:tcW w:w="701" w:type="pct"/>
            <w:noWrap w:val="0"/>
            <w:vAlign w:val="center"/>
          </w:tcPr>
          <w:p>
            <w:pPr>
              <w:spacing w:line="360" w:lineRule="auto"/>
              <w:jc w:val="center"/>
              <w:rPr>
                <w:rFonts w:hAnsi="宋体"/>
                <w:color w:val="auto"/>
                <w:szCs w:val="21"/>
                <w:highlight w:val="none"/>
              </w:rPr>
            </w:pPr>
          </w:p>
        </w:tc>
        <w:tc>
          <w:tcPr>
            <w:tcW w:w="1336" w:type="pct"/>
            <w:noWrap w:val="0"/>
            <w:vAlign w:val="center"/>
          </w:tcPr>
          <w:p>
            <w:pPr>
              <w:spacing w:line="400" w:lineRule="exact"/>
              <w:jc w:val="center"/>
              <w:rPr>
                <w:rFonts w:hAnsi="宋体"/>
                <w:color w:val="auto"/>
                <w:szCs w:val="21"/>
                <w:highlight w:val="none"/>
              </w:rPr>
            </w:pPr>
          </w:p>
        </w:tc>
        <w:tc>
          <w:tcPr>
            <w:tcW w:w="1449" w:type="pct"/>
            <w:noWrap w:val="0"/>
            <w:vAlign w:val="center"/>
          </w:tcPr>
          <w:p>
            <w:pPr>
              <w:spacing w:line="360" w:lineRule="auto"/>
              <w:jc w:val="center"/>
              <w:rPr>
                <w:rFonts w:hAnsi="宋体"/>
                <w:color w:val="auto"/>
                <w:szCs w:val="21"/>
                <w:highlight w:val="none"/>
              </w:rPr>
            </w:pPr>
          </w:p>
        </w:tc>
        <w:tc>
          <w:tcPr>
            <w:tcW w:w="988" w:type="pct"/>
            <w:noWrap w:val="0"/>
            <w:vAlign w:val="center"/>
          </w:tcPr>
          <w:p>
            <w:pPr>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6" w:type="pct"/>
            <w:noWrap w:val="0"/>
            <w:vAlign w:val="center"/>
          </w:tcPr>
          <w:p>
            <w:pPr>
              <w:spacing w:line="360" w:lineRule="auto"/>
              <w:jc w:val="center"/>
              <w:rPr>
                <w:rFonts w:hAnsi="宋体"/>
                <w:color w:val="auto"/>
                <w:szCs w:val="21"/>
                <w:highlight w:val="none"/>
              </w:rPr>
            </w:pPr>
            <w:r>
              <w:rPr>
                <w:rFonts w:hAnsi="宋体"/>
                <w:color w:val="auto"/>
                <w:szCs w:val="21"/>
                <w:highlight w:val="none"/>
              </w:rPr>
              <w:t>4</w:t>
            </w:r>
          </w:p>
        </w:tc>
        <w:tc>
          <w:tcPr>
            <w:tcW w:w="701" w:type="pct"/>
            <w:noWrap w:val="0"/>
            <w:vAlign w:val="center"/>
          </w:tcPr>
          <w:p>
            <w:pPr>
              <w:spacing w:line="360" w:lineRule="auto"/>
              <w:jc w:val="center"/>
              <w:rPr>
                <w:rFonts w:hAnsi="宋体"/>
                <w:color w:val="auto"/>
                <w:szCs w:val="21"/>
                <w:highlight w:val="none"/>
              </w:rPr>
            </w:pPr>
          </w:p>
        </w:tc>
        <w:tc>
          <w:tcPr>
            <w:tcW w:w="1336" w:type="pct"/>
            <w:noWrap w:val="0"/>
            <w:vAlign w:val="center"/>
          </w:tcPr>
          <w:p>
            <w:pPr>
              <w:spacing w:line="400" w:lineRule="exact"/>
              <w:jc w:val="center"/>
              <w:rPr>
                <w:rFonts w:hAnsi="宋体"/>
                <w:color w:val="auto"/>
                <w:szCs w:val="21"/>
                <w:highlight w:val="none"/>
              </w:rPr>
            </w:pPr>
          </w:p>
        </w:tc>
        <w:tc>
          <w:tcPr>
            <w:tcW w:w="1449" w:type="pct"/>
            <w:noWrap w:val="0"/>
            <w:vAlign w:val="center"/>
          </w:tcPr>
          <w:p>
            <w:pPr>
              <w:spacing w:line="360" w:lineRule="auto"/>
              <w:jc w:val="center"/>
              <w:rPr>
                <w:rFonts w:hAnsi="宋体"/>
                <w:color w:val="auto"/>
                <w:szCs w:val="21"/>
                <w:highlight w:val="none"/>
              </w:rPr>
            </w:pPr>
          </w:p>
        </w:tc>
        <w:tc>
          <w:tcPr>
            <w:tcW w:w="988" w:type="pct"/>
            <w:noWrap w:val="0"/>
            <w:vAlign w:val="center"/>
          </w:tcPr>
          <w:p>
            <w:pPr>
              <w:spacing w:line="360" w:lineRule="auto"/>
              <w:jc w:val="center"/>
              <w:rPr>
                <w:rFonts w:hAnsi="宋体"/>
                <w:color w:val="auto"/>
                <w:szCs w:val="21"/>
                <w:highlight w:val="none"/>
              </w:rPr>
            </w:pPr>
          </w:p>
        </w:tc>
      </w:tr>
    </w:tbl>
    <w:p>
      <w:pPr>
        <w:spacing w:line="560" w:lineRule="exact"/>
        <w:rPr>
          <w:rFonts w:ascii="Times New Roman" w:hAnsi="Times New Roman"/>
          <w:color w:val="auto"/>
          <w:sz w:val="22"/>
          <w:szCs w:val="22"/>
          <w:highlight w:val="none"/>
        </w:rPr>
      </w:pPr>
    </w:p>
    <w:p>
      <w:pPr>
        <w:spacing w:line="360" w:lineRule="auto"/>
        <w:rPr>
          <w:rFonts w:ascii="宋体" w:hAnsi="宋体"/>
          <w:color w:val="auto"/>
          <w:sz w:val="22"/>
          <w:szCs w:val="22"/>
          <w:highlight w:val="none"/>
        </w:rPr>
      </w:pPr>
      <w:r>
        <w:rPr>
          <w:rFonts w:ascii="宋体" w:hAnsi="宋体"/>
          <w:color w:val="auto"/>
          <w:sz w:val="22"/>
          <w:szCs w:val="22"/>
          <w:highlight w:val="none"/>
        </w:rPr>
        <w:t>注：</w:t>
      </w:r>
    </w:p>
    <w:p>
      <w:pPr>
        <w:spacing w:line="360" w:lineRule="auto"/>
        <w:ind w:left="550" w:hanging="550" w:hangingChars="250"/>
        <w:rPr>
          <w:rFonts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b/>
          <w:bCs/>
          <w:color w:val="auto"/>
          <w:sz w:val="22"/>
          <w:szCs w:val="22"/>
          <w:highlight w:val="none"/>
          <w:u w:val="single"/>
        </w:rPr>
        <w:t>凡标有“★”的地方均被视为实质性内容或重要的技术指标要求或性能要求。投标人要特别加以注意，必须对此回答并完全满足这些要求，否则若有一项带“★”的指标未响应或不满足，将按无效投标处理。</w:t>
      </w:r>
    </w:p>
    <w:p>
      <w:pPr>
        <w:spacing w:line="360" w:lineRule="auto"/>
        <w:ind w:left="550" w:hanging="550" w:hangingChars="250"/>
        <w:rPr>
          <w:rFonts w:hAnsi="宋体"/>
          <w:color w:val="auto"/>
          <w:szCs w:val="21"/>
          <w:highlight w:val="none"/>
        </w:rPr>
      </w:pPr>
      <w:r>
        <w:rPr>
          <w:rFonts w:hint="eastAsia" w:ascii="宋体" w:hAnsi="宋体"/>
          <w:color w:val="auto"/>
          <w:sz w:val="22"/>
          <w:szCs w:val="22"/>
          <w:highlight w:val="none"/>
        </w:rPr>
        <w:t>（2）“投标文件对应内容”填写“★”内容的响应内容，“</w:t>
      </w:r>
      <w:r>
        <w:rPr>
          <w:rFonts w:hint="eastAsia" w:hAnsi="宋体"/>
          <w:color w:val="auto"/>
          <w:szCs w:val="21"/>
          <w:highlight w:val="none"/>
        </w:rPr>
        <w:t>响应情况”填写“完全响应”。</w:t>
      </w:r>
    </w:p>
    <w:p>
      <w:pPr>
        <w:spacing w:line="360" w:lineRule="auto"/>
        <w:ind w:firstLine="4840" w:firstLineChars="2200"/>
        <w:rPr>
          <w:rFonts w:ascii="宋体" w:hAnsi="宋体"/>
          <w:color w:val="auto"/>
          <w:sz w:val="22"/>
          <w:szCs w:val="22"/>
          <w:highlight w:val="none"/>
        </w:rPr>
      </w:pPr>
    </w:p>
    <w:p>
      <w:pPr>
        <w:spacing w:line="360" w:lineRule="auto"/>
        <w:ind w:firstLine="4840" w:firstLineChars="2200"/>
        <w:rPr>
          <w:rFonts w:ascii="宋体"/>
          <w:color w:val="auto"/>
          <w:sz w:val="22"/>
          <w:szCs w:val="22"/>
          <w:highlight w:val="none"/>
          <w:u w:val="single"/>
        </w:rPr>
      </w:pPr>
      <w:r>
        <w:rPr>
          <w:rFonts w:hint="eastAsia" w:ascii="宋体" w:hAnsi="宋体"/>
          <w:color w:val="auto"/>
          <w:sz w:val="22"/>
          <w:szCs w:val="22"/>
          <w:highlight w:val="none"/>
        </w:rPr>
        <w:t xml:space="preserve">投标人名称（加盖公章）： </w:t>
      </w:r>
      <w:r>
        <w:rPr>
          <w:rFonts w:hint="eastAsia" w:ascii="宋体" w:hAnsi="宋体"/>
          <w:color w:val="auto"/>
          <w:sz w:val="22"/>
          <w:szCs w:val="22"/>
          <w:highlight w:val="none"/>
          <w:u w:val="single"/>
        </w:rPr>
        <w:t xml:space="preserve">                </w:t>
      </w:r>
    </w:p>
    <w:p>
      <w:pPr>
        <w:pStyle w:val="99"/>
        <w:spacing w:line="480" w:lineRule="auto"/>
        <w:ind w:left="3969" w:leftChars="1890" w:firstLine="891" w:firstLineChars="405"/>
        <w:rPr>
          <w:rFonts w:ascii="宋体" w:eastAsia="宋体"/>
          <w:color w:val="auto"/>
          <w:sz w:val="22"/>
          <w:szCs w:val="22"/>
          <w:highlight w:val="none"/>
          <w:u w:val="single"/>
        </w:rPr>
      </w:pPr>
      <w:r>
        <w:rPr>
          <w:rFonts w:hint="eastAsia" w:ascii="宋体" w:eastAsia="宋体"/>
          <w:color w:val="auto"/>
          <w:sz w:val="22"/>
          <w:szCs w:val="22"/>
          <w:highlight w:val="none"/>
        </w:rPr>
        <w:t>日</w:t>
      </w:r>
      <w:r>
        <w:rPr>
          <w:rFonts w:ascii="宋体" w:eastAsia="宋体"/>
          <w:color w:val="auto"/>
          <w:sz w:val="22"/>
          <w:szCs w:val="22"/>
          <w:highlight w:val="none"/>
        </w:rPr>
        <w:t xml:space="preserve">  </w:t>
      </w:r>
      <w:r>
        <w:rPr>
          <w:rFonts w:hint="eastAsia" w:ascii="宋体" w:eastAsia="宋体"/>
          <w:color w:val="auto"/>
          <w:sz w:val="22"/>
          <w:szCs w:val="22"/>
          <w:highlight w:val="none"/>
        </w:rPr>
        <w:t>期：</w:t>
      </w:r>
      <w:r>
        <w:rPr>
          <w:rFonts w:hint="eastAsia" w:ascii="宋体" w:eastAsia="宋体"/>
          <w:color w:val="auto"/>
          <w:sz w:val="22"/>
          <w:szCs w:val="22"/>
          <w:highlight w:val="none"/>
          <w:u w:val="single"/>
        </w:rPr>
        <w:t xml:space="preserve">          年         月       日</w:t>
      </w:r>
    </w:p>
    <w:p>
      <w:pPr>
        <w:widowControl/>
        <w:jc w:val="left"/>
        <w:rPr>
          <w:rFonts w:ascii="宋体" w:hAnsi="宋体"/>
          <w:color w:val="auto"/>
          <w:sz w:val="22"/>
          <w:szCs w:val="22"/>
          <w:highlight w:val="none"/>
        </w:rPr>
      </w:pPr>
      <w:r>
        <w:rPr>
          <w:rFonts w:ascii="宋体" w:hAnsi="宋体"/>
          <w:color w:val="auto"/>
          <w:sz w:val="22"/>
          <w:szCs w:val="22"/>
          <w:highlight w:val="none"/>
        </w:rPr>
        <w:br w:type="page"/>
      </w:r>
      <w:bookmarkStart w:id="269" w:name="_Toc61529883"/>
      <w:bookmarkStart w:id="270" w:name="_Toc46400005"/>
      <w:bookmarkStart w:id="271" w:name="_Toc441844132"/>
    </w:p>
    <w:p>
      <w:pPr>
        <w:widowControl/>
        <w:jc w:val="center"/>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15、合同条款偏离表</w:t>
      </w:r>
      <w:bookmarkEnd w:id="269"/>
      <w:bookmarkEnd w:id="270"/>
    </w:p>
    <w:p>
      <w:pPr>
        <w:spacing w:line="360" w:lineRule="auto"/>
        <w:rPr>
          <w:rFonts w:hint="eastAsia" w:ascii="宋体" w:hAnsi="宋体"/>
          <w:sz w:val="22"/>
          <w:szCs w:val="22"/>
        </w:rPr>
      </w:pPr>
    </w:p>
    <w:p>
      <w:pPr>
        <w:spacing w:line="360" w:lineRule="auto"/>
        <w:rPr>
          <w:rFonts w:ascii="宋体" w:hAnsi="宋体"/>
          <w:sz w:val="22"/>
          <w:szCs w:val="22"/>
        </w:rPr>
      </w:pPr>
      <w:r>
        <w:rPr>
          <w:rFonts w:hint="eastAsia" w:ascii="宋体" w:hAnsi="宋体"/>
          <w:sz w:val="22"/>
          <w:szCs w:val="22"/>
        </w:rPr>
        <w:t>项目名称：</w:t>
      </w:r>
      <w:r>
        <w:rPr>
          <w:rFonts w:ascii="宋体" w:hAnsi="宋体"/>
          <w:sz w:val="22"/>
          <w:szCs w:val="22"/>
        </w:rPr>
        <w:t xml:space="preserve">                       </w:t>
      </w:r>
      <w:r>
        <w:rPr>
          <w:rFonts w:hint="eastAsia" w:ascii="宋体" w:hAnsi="宋体"/>
          <w:sz w:val="22"/>
          <w:szCs w:val="22"/>
        </w:rPr>
        <w:t>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项目编号： </w:t>
      </w:r>
      <w:r>
        <w:rPr>
          <w:rFonts w:ascii="宋体" w:hAnsi="宋体"/>
          <w:sz w:val="22"/>
          <w:szCs w:val="22"/>
        </w:rPr>
        <w:t xml:space="preserve">     </w:t>
      </w:r>
      <w:r>
        <w:rPr>
          <w:rFonts w:hint="eastAsia" w:ascii="宋体" w:hAnsi="宋体"/>
          <w:sz w:val="22"/>
          <w:szCs w:val="22"/>
        </w:rPr>
        <w:t>包号：</w:t>
      </w:r>
    </w:p>
    <w:tbl>
      <w:tblPr>
        <w:tblStyle w:val="51"/>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90"/>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93" w:type="dxa"/>
            <w:vMerge w:val="restart"/>
            <w:noWrap w:val="0"/>
            <w:vAlign w:val="center"/>
          </w:tcPr>
          <w:p>
            <w:pPr>
              <w:spacing w:line="300" w:lineRule="auto"/>
              <w:jc w:val="center"/>
              <w:rPr>
                <w:rFonts w:ascii="宋体" w:hAnsi="宋体"/>
                <w:sz w:val="22"/>
                <w:szCs w:val="22"/>
              </w:rPr>
            </w:pPr>
            <w:r>
              <w:rPr>
                <w:rFonts w:ascii="宋体" w:hAnsi="宋体"/>
                <w:sz w:val="22"/>
                <w:szCs w:val="22"/>
              </w:rPr>
              <w:t>序号</w:t>
            </w:r>
          </w:p>
        </w:tc>
        <w:tc>
          <w:tcPr>
            <w:tcW w:w="3290" w:type="dxa"/>
            <w:noWrap w:val="0"/>
            <w:vAlign w:val="center"/>
          </w:tcPr>
          <w:p>
            <w:pPr>
              <w:spacing w:line="300" w:lineRule="auto"/>
              <w:jc w:val="center"/>
              <w:rPr>
                <w:rFonts w:ascii="宋体" w:hAnsi="宋体"/>
                <w:sz w:val="22"/>
                <w:szCs w:val="22"/>
              </w:rPr>
            </w:pPr>
            <w:r>
              <w:rPr>
                <w:rFonts w:ascii="宋体" w:hAnsi="宋体"/>
                <w:sz w:val="22"/>
                <w:szCs w:val="22"/>
              </w:rPr>
              <w:t>招标文件要求</w:t>
            </w:r>
          </w:p>
        </w:tc>
        <w:tc>
          <w:tcPr>
            <w:tcW w:w="4870" w:type="dxa"/>
            <w:gridSpan w:val="2"/>
            <w:noWrap w:val="0"/>
            <w:vAlign w:val="center"/>
          </w:tcPr>
          <w:p>
            <w:pPr>
              <w:spacing w:line="300" w:lineRule="auto"/>
              <w:jc w:val="center"/>
              <w:rPr>
                <w:rFonts w:ascii="宋体" w:hAnsi="宋体"/>
                <w:sz w:val="22"/>
                <w:szCs w:val="22"/>
              </w:rPr>
            </w:pPr>
            <w:r>
              <w:rPr>
                <w:rFonts w:ascii="宋体" w:hAnsi="宋体"/>
                <w:sz w:val="22"/>
                <w:szCs w:val="22"/>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3" w:type="dxa"/>
            <w:vMerge w:val="continue"/>
            <w:noWrap w:val="0"/>
            <w:vAlign w:val="center"/>
          </w:tcPr>
          <w:p>
            <w:pPr>
              <w:spacing w:line="300" w:lineRule="auto"/>
              <w:jc w:val="center"/>
              <w:rPr>
                <w:rFonts w:ascii="宋体" w:hAnsi="宋体"/>
                <w:sz w:val="22"/>
                <w:szCs w:val="22"/>
              </w:rPr>
            </w:pPr>
          </w:p>
        </w:tc>
        <w:tc>
          <w:tcPr>
            <w:tcW w:w="3290" w:type="dxa"/>
            <w:noWrap w:val="0"/>
            <w:vAlign w:val="center"/>
          </w:tcPr>
          <w:p>
            <w:pPr>
              <w:spacing w:line="300" w:lineRule="auto"/>
              <w:jc w:val="center"/>
              <w:rPr>
                <w:rFonts w:ascii="宋体" w:hAnsi="宋体"/>
                <w:sz w:val="22"/>
                <w:szCs w:val="22"/>
              </w:rPr>
            </w:pPr>
            <w:r>
              <w:rPr>
                <w:rFonts w:ascii="宋体" w:hAnsi="宋体"/>
                <w:sz w:val="22"/>
                <w:szCs w:val="22"/>
              </w:rPr>
              <w:t>简要内容</w:t>
            </w:r>
          </w:p>
        </w:tc>
        <w:tc>
          <w:tcPr>
            <w:tcW w:w="1346" w:type="dxa"/>
            <w:noWrap w:val="0"/>
            <w:vAlign w:val="center"/>
          </w:tcPr>
          <w:p>
            <w:pPr>
              <w:spacing w:line="300" w:lineRule="auto"/>
              <w:jc w:val="center"/>
              <w:rPr>
                <w:rFonts w:ascii="宋体" w:hAnsi="宋体"/>
                <w:sz w:val="22"/>
                <w:szCs w:val="22"/>
              </w:rPr>
            </w:pPr>
            <w:r>
              <w:rPr>
                <w:rFonts w:ascii="宋体" w:hAnsi="宋体"/>
                <w:sz w:val="22"/>
                <w:szCs w:val="22"/>
              </w:rPr>
              <w:t>偏离情况</w:t>
            </w:r>
          </w:p>
        </w:tc>
        <w:tc>
          <w:tcPr>
            <w:tcW w:w="3524" w:type="dxa"/>
            <w:noWrap w:val="0"/>
            <w:vAlign w:val="center"/>
          </w:tcPr>
          <w:p>
            <w:pPr>
              <w:spacing w:line="300" w:lineRule="auto"/>
              <w:jc w:val="center"/>
              <w:rPr>
                <w:rFonts w:ascii="宋体" w:hAnsi="宋体"/>
                <w:sz w:val="22"/>
                <w:szCs w:val="22"/>
              </w:rPr>
            </w:pPr>
            <w:r>
              <w:rPr>
                <w:rFonts w:ascii="宋体" w:hAnsi="宋体"/>
                <w:sz w:val="22"/>
                <w:szCs w:val="22"/>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sz w:val="22"/>
                <w:szCs w:val="22"/>
              </w:rPr>
            </w:pPr>
          </w:p>
        </w:tc>
        <w:tc>
          <w:tcPr>
            <w:tcW w:w="3290" w:type="dxa"/>
            <w:noWrap w:val="0"/>
            <w:vAlign w:val="center"/>
          </w:tcPr>
          <w:p>
            <w:pPr>
              <w:pStyle w:val="99"/>
              <w:spacing w:line="360" w:lineRule="exact"/>
              <w:ind w:firstLine="0" w:firstLineChars="0"/>
              <w:jc w:val="left"/>
              <w:rPr>
                <w:rFonts w:ascii="宋体" w:eastAsia="宋体"/>
                <w:b/>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bCs/>
                <w:sz w:val="22"/>
                <w:szCs w:val="22"/>
              </w:rPr>
            </w:pPr>
          </w:p>
        </w:tc>
        <w:tc>
          <w:tcPr>
            <w:tcW w:w="3290" w:type="dxa"/>
            <w:noWrap w:val="0"/>
            <w:vAlign w:val="center"/>
          </w:tcPr>
          <w:p>
            <w:pPr>
              <w:spacing w:line="300" w:lineRule="auto"/>
              <w:rPr>
                <w:rFonts w:ascii="宋体" w:hAnsi="宋体"/>
                <w:bCs/>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bCs/>
                <w:sz w:val="22"/>
                <w:szCs w:val="22"/>
              </w:rPr>
            </w:pPr>
          </w:p>
        </w:tc>
        <w:tc>
          <w:tcPr>
            <w:tcW w:w="3290" w:type="dxa"/>
            <w:noWrap w:val="0"/>
            <w:vAlign w:val="center"/>
          </w:tcPr>
          <w:p>
            <w:pPr>
              <w:spacing w:line="300" w:lineRule="auto"/>
              <w:rPr>
                <w:rFonts w:ascii="宋体" w:hAnsi="宋体"/>
                <w:bCs/>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93" w:type="dxa"/>
            <w:noWrap w:val="0"/>
            <w:vAlign w:val="center"/>
          </w:tcPr>
          <w:p>
            <w:pPr>
              <w:spacing w:line="300" w:lineRule="auto"/>
              <w:jc w:val="center"/>
              <w:rPr>
                <w:rFonts w:ascii="宋体" w:hAnsi="宋体"/>
                <w:bCs/>
                <w:sz w:val="22"/>
                <w:szCs w:val="22"/>
              </w:rPr>
            </w:pPr>
          </w:p>
        </w:tc>
        <w:tc>
          <w:tcPr>
            <w:tcW w:w="3290" w:type="dxa"/>
            <w:noWrap w:val="0"/>
            <w:vAlign w:val="center"/>
          </w:tcPr>
          <w:p>
            <w:pPr>
              <w:spacing w:line="300" w:lineRule="auto"/>
              <w:rPr>
                <w:rFonts w:ascii="宋体" w:hAnsi="宋体"/>
                <w:bCs/>
                <w:sz w:val="22"/>
                <w:szCs w:val="22"/>
              </w:rPr>
            </w:pPr>
          </w:p>
        </w:tc>
        <w:tc>
          <w:tcPr>
            <w:tcW w:w="1346" w:type="dxa"/>
            <w:noWrap w:val="0"/>
            <w:vAlign w:val="center"/>
          </w:tcPr>
          <w:p>
            <w:pPr>
              <w:spacing w:line="300" w:lineRule="auto"/>
              <w:jc w:val="center"/>
              <w:rPr>
                <w:rFonts w:ascii="宋体" w:hAnsi="宋体"/>
                <w:sz w:val="22"/>
                <w:szCs w:val="22"/>
              </w:rPr>
            </w:pPr>
          </w:p>
        </w:tc>
        <w:tc>
          <w:tcPr>
            <w:tcW w:w="3524" w:type="dxa"/>
            <w:noWrap w:val="0"/>
            <w:vAlign w:val="center"/>
          </w:tcPr>
          <w:p>
            <w:pPr>
              <w:spacing w:line="300" w:lineRule="auto"/>
              <w:jc w:val="center"/>
              <w:rPr>
                <w:rFonts w:ascii="宋体" w:hAnsi="宋体"/>
                <w:sz w:val="22"/>
                <w:szCs w:val="22"/>
              </w:rPr>
            </w:pPr>
          </w:p>
        </w:tc>
      </w:tr>
    </w:tbl>
    <w:p>
      <w:pPr>
        <w:snapToGrid w:val="0"/>
        <w:spacing w:line="360" w:lineRule="auto"/>
        <w:ind w:left="421" w:leftChars="-58" w:hanging="543" w:hangingChars="247"/>
        <w:rPr>
          <w:rFonts w:ascii="宋体" w:hAnsi="宋体"/>
          <w:sz w:val="22"/>
          <w:szCs w:val="22"/>
        </w:rPr>
      </w:pPr>
      <w:r>
        <w:rPr>
          <w:rFonts w:ascii="宋体" w:hAnsi="宋体"/>
          <w:sz w:val="22"/>
          <w:szCs w:val="22"/>
        </w:rPr>
        <w:t xml:space="preserve">      </w:t>
      </w:r>
      <w:r>
        <w:rPr>
          <w:rFonts w:hint="eastAsia" w:ascii="宋体" w:hAnsi="宋体"/>
          <w:sz w:val="22"/>
          <w:szCs w:val="22"/>
        </w:rPr>
        <w:t>备</w:t>
      </w:r>
      <w:r>
        <w:rPr>
          <w:rFonts w:ascii="宋体" w:hAnsi="宋体"/>
          <w:sz w:val="22"/>
          <w:szCs w:val="22"/>
        </w:rPr>
        <w:t>注：</w:t>
      </w:r>
    </w:p>
    <w:p>
      <w:pPr>
        <w:snapToGrid w:val="0"/>
        <w:spacing w:line="360" w:lineRule="auto"/>
        <w:ind w:left="421" w:leftChars="-58" w:hanging="543" w:hangingChars="247"/>
        <w:rPr>
          <w:rFonts w:ascii="宋体" w:hAnsi="宋体"/>
          <w:b/>
          <w:sz w:val="22"/>
          <w:szCs w:val="22"/>
        </w:rPr>
      </w:pPr>
      <w:r>
        <w:rPr>
          <w:rFonts w:ascii="宋体" w:hAnsi="宋体"/>
          <w:sz w:val="22"/>
          <w:szCs w:val="22"/>
        </w:rPr>
        <w:t>（1）</w:t>
      </w:r>
      <w:r>
        <w:rPr>
          <w:rFonts w:ascii="宋体" w:hAnsi="宋体"/>
          <w:b/>
          <w:sz w:val="22"/>
          <w:szCs w:val="22"/>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ascii="宋体" w:hAnsi="宋体"/>
          <w:b/>
          <w:sz w:val="22"/>
          <w:szCs w:val="22"/>
          <w:highlight w:val="none"/>
          <w:u w:val="single"/>
        </w:rPr>
        <w:t>或不填写</w:t>
      </w:r>
      <w:r>
        <w:rPr>
          <w:rFonts w:ascii="宋体" w:hAnsi="宋体"/>
          <w:b/>
          <w:sz w:val="22"/>
          <w:szCs w:val="22"/>
          <w:highlight w:val="none"/>
          <w:u w:val="single"/>
        </w:rPr>
        <w:t>。</w:t>
      </w:r>
      <w:r>
        <w:rPr>
          <w:rFonts w:ascii="宋体" w:hAnsi="宋体"/>
          <w:b/>
          <w:sz w:val="22"/>
          <w:szCs w:val="22"/>
          <w:u w:val="single"/>
        </w:rPr>
        <w:t>若发现虚假填写本表，或对合同及其附件响应有负偏离的，按无效投标文件处理。若发现此表未逐条填写视为完全满足招标文件要求。</w:t>
      </w:r>
    </w:p>
    <w:p>
      <w:pPr>
        <w:snapToGrid w:val="0"/>
        <w:spacing w:line="360" w:lineRule="auto"/>
        <w:ind w:left="421" w:leftChars="-58" w:hanging="543" w:hangingChars="247"/>
        <w:rPr>
          <w:rFonts w:ascii="宋体" w:hAnsi="宋体"/>
          <w:b/>
          <w:bCs/>
          <w:sz w:val="22"/>
          <w:szCs w:val="22"/>
        </w:rPr>
      </w:pPr>
      <w:r>
        <w:rPr>
          <w:rFonts w:ascii="宋体" w:hAnsi="宋体"/>
          <w:sz w:val="22"/>
          <w:szCs w:val="22"/>
        </w:rPr>
        <w:t>（2）偏离情况（投标文件对招标文件合同条款的响应程度）分为：正偏离、负偏离、无偏离。正偏离是指投标人提供的货物或服务商务条件优于招标文件的要求；负偏离是指投标人提供的</w:t>
      </w:r>
      <w:r>
        <w:rPr>
          <w:rFonts w:hint="eastAsia" w:ascii="宋体" w:hAnsi="宋体"/>
          <w:sz w:val="22"/>
          <w:szCs w:val="22"/>
        </w:rPr>
        <w:t>货物</w:t>
      </w:r>
      <w:r>
        <w:rPr>
          <w:rFonts w:ascii="宋体" w:hAnsi="宋体"/>
          <w:sz w:val="22"/>
          <w:szCs w:val="22"/>
        </w:rPr>
        <w:t>或服务商务条件不满足或不完全满足招标文件的要求；无偏离是指投标人提供的</w:t>
      </w:r>
      <w:r>
        <w:rPr>
          <w:rFonts w:hint="eastAsia" w:ascii="宋体" w:hAnsi="宋体"/>
          <w:sz w:val="22"/>
          <w:szCs w:val="22"/>
        </w:rPr>
        <w:t>货物</w:t>
      </w:r>
      <w:r>
        <w:rPr>
          <w:rFonts w:ascii="宋体" w:hAnsi="宋体"/>
          <w:sz w:val="22"/>
          <w:szCs w:val="22"/>
        </w:rPr>
        <w:t>或服务商务条件完全满足招标文件的要求。</w:t>
      </w:r>
    </w:p>
    <w:p>
      <w:pPr>
        <w:snapToGrid w:val="0"/>
        <w:spacing w:line="360" w:lineRule="auto"/>
        <w:ind w:left="421" w:leftChars="-58" w:hanging="543" w:hangingChars="247"/>
        <w:rPr>
          <w:rFonts w:ascii="宋体" w:hAnsi="宋体"/>
          <w:sz w:val="22"/>
          <w:szCs w:val="22"/>
        </w:rPr>
      </w:pPr>
      <w:r>
        <w:rPr>
          <w:rFonts w:ascii="宋体" w:hAnsi="宋体"/>
          <w:sz w:val="22"/>
          <w:szCs w:val="22"/>
        </w:rPr>
        <w:t>（4）如投标人差异内容较多可另附页说明，</w:t>
      </w:r>
      <w:r>
        <w:rPr>
          <w:rFonts w:ascii="宋体" w:hAnsi="宋体"/>
          <w:sz w:val="22"/>
          <w:szCs w:val="22"/>
          <w:lang w:val="zh-CN"/>
        </w:rPr>
        <w:t>并在本偏离表“具体偏离内容”项注明其在投标文件中的具体页码</w:t>
      </w:r>
      <w:r>
        <w:rPr>
          <w:rFonts w:ascii="宋体" w:hAnsi="宋体"/>
          <w:sz w:val="22"/>
          <w:szCs w:val="22"/>
        </w:rPr>
        <w:t>。</w:t>
      </w:r>
    </w:p>
    <w:p>
      <w:pPr>
        <w:spacing w:line="360" w:lineRule="auto"/>
        <w:ind w:firstLine="4305" w:firstLineChars="1957"/>
        <w:rPr>
          <w:rFonts w:ascii="宋体" w:hAnsi="宋体"/>
          <w:sz w:val="22"/>
          <w:szCs w:val="22"/>
          <w:lang w:val="zh-CN"/>
        </w:rPr>
      </w:pPr>
      <w:r>
        <w:rPr>
          <w:rFonts w:hint="eastAsia" w:ascii="宋体" w:hAnsi="宋体"/>
          <w:sz w:val="22"/>
          <w:szCs w:val="22"/>
          <w:lang w:val="zh-CN"/>
        </w:rPr>
        <w:t xml:space="preserve">投标人名称（加盖公章）： </w:t>
      </w:r>
      <w:r>
        <w:rPr>
          <w:rFonts w:ascii="宋体" w:hAnsi="宋体"/>
          <w:sz w:val="22"/>
          <w:szCs w:val="22"/>
          <w:u w:val="single"/>
          <w:lang w:val="zh-CN"/>
        </w:rPr>
        <w:t xml:space="preserve">                </w:t>
      </w:r>
    </w:p>
    <w:p>
      <w:pPr>
        <w:spacing w:line="360" w:lineRule="auto"/>
        <w:ind w:firstLine="4305" w:firstLineChars="1957"/>
        <w:rPr>
          <w:rFonts w:ascii="宋体" w:hAnsi="宋体"/>
          <w:sz w:val="22"/>
          <w:szCs w:val="22"/>
          <w:lang w:val="zh-CN"/>
        </w:rPr>
      </w:pPr>
      <w:r>
        <w:rPr>
          <w:rFonts w:ascii="宋体" w:hAnsi="宋体"/>
          <w:sz w:val="22"/>
          <w:szCs w:val="22"/>
          <w:lang w:val="zh-CN"/>
        </w:rPr>
        <w:t>日    期：</w:t>
      </w:r>
      <w:r>
        <w:rPr>
          <w:rFonts w:ascii="宋体" w:hAnsi="宋体"/>
          <w:sz w:val="22"/>
          <w:szCs w:val="22"/>
          <w:u w:val="single"/>
          <w:lang w:val="zh-CN"/>
        </w:rPr>
        <w:t xml:space="preserve">     </w:t>
      </w:r>
      <w:r>
        <w:rPr>
          <w:rFonts w:hint="eastAsia" w:ascii="宋体" w:hAnsi="宋体"/>
          <w:sz w:val="22"/>
          <w:szCs w:val="22"/>
          <w:u w:val="single"/>
          <w:lang w:val="zh-CN"/>
        </w:rPr>
        <w:t>年</w:t>
      </w:r>
      <w:r>
        <w:rPr>
          <w:rFonts w:ascii="宋体" w:hAnsi="宋体"/>
          <w:sz w:val="22"/>
          <w:szCs w:val="22"/>
          <w:u w:val="single"/>
          <w:lang w:val="zh-CN"/>
        </w:rPr>
        <w:t xml:space="preserve">      </w:t>
      </w:r>
      <w:r>
        <w:rPr>
          <w:rFonts w:hint="eastAsia" w:ascii="宋体" w:hAnsi="宋体"/>
          <w:sz w:val="22"/>
          <w:szCs w:val="22"/>
          <w:u w:val="single"/>
          <w:lang w:val="zh-CN"/>
        </w:rPr>
        <w:t>月</w:t>
      </w:r>
      <w:r>
        <w:rPr>
          <w:rFonts w:ascii="宋体" w:hAnsi="宋体"/>
          <w:sz w:val="22"/>
          <w:szCs w:val="22"/>
          <w:u w:val="single"/>
          <w:lang w:val="zh-CN"/>
        </w:rPr>
        <w:t xml:space="preserve">      </w:t>
      </w:r>
      <w:r>
        <w:rPr>
          <w:rFonts w:hint="eastAsia" w:ascii="宋体" w:hAnsi="宋体"/>
          <w:sz w:val="22"/>
          <w:szCs w:val="22"/>
          <w:u w:val="single"/>
          <w:lang w:val="zh-CN"/>
        </w:rPr>
        <w:t>日</w:t>
      </w:r>
    </w:p>
    <w:p>
      <w:pPr>
        <w:widowControl/>
        <w:jc w:val="left"/>
        <w:rPr>
          <w:rFonts w:ascii="宋体" w:hAnsi="宋体"/>
          <w:b/>
          <w:sz w:val="22"/>
          <w:szCs w:val="22"/>
        </w:rPr>
      </w:pPr>
      <w:r>
        <w:rPr>
          <w:rFonts w:ascii="宋体" w:hAnsi="宋体"/>
          <w:b/>
          <w:sz w:val="22"/>
          <w:szCs w:val="22"/>
        </w:rPr>
        <w:br w:type="page"/>
      </w:r>
    </w:p>
    <w:p>
      <w:pPr>
        <w:pStyle w:val="5"/>
        <w:jc w:val="center"/>
        <w:rPr>
          <w:rFonts w:ascii="宋体" w:hAnsi="宋体"/>
          <w:sz w:val="24"/>
          <w:szCs w:val="24"/>
        </w:rPr>
      </w:pPr>
      <w:bookmarkStart w:id="272" w:name="_Toc61529884"/>
      <w:r>
        <w:rPr>
          <w:rFonts w:ascii="宋体" w:hAnsi="宋体"/>
          <w:sz w:val="24"/>
          <w:szCs w:val="24"/>
        </w:rPr>
        <w:t>1</w:t>
      </w:r>
      <w:r>
        <w:rPr>
          <w:rFonts w:hint="eastAsia" w:ascii="宋体" w:hAnsi="宋体"/>
          <w:sz w:val="24"/>
          <w:szCs w:val="24"/>
          <w:lang w:val="en-US" w:eastAsia="zh-CN"/>
        </w:rPr>
        <w:t>6</w:t>
      </w:r>
      <w:r>
        <w:rPr>
          <w:rFonts w:ascii="宋体" w:hAnsi="宋体"/>
          <w:sz w:val="24"/>
          <w:szCs w:val="24"/>
        </w:rPr>
        <w:t>、投标保证金汇入情况说明</w:t>
      </w:r>
      <w:bookmarkEnd w:id="271"/>
      <w:bookmarkEnd w:id="272"/>
    </w:p>
    <w:p>
      <w:pPr>
        <w:tabs>
          <w:tab w:val="left" w:pos="1800"/>
        </w:tabs>
        <w:spacing w:line="560" w:lineRule="exact"/>
        <w:rPr>
          <w:rFonts w:ascii="宋体" w:hAnsi="宋体"/>
          <w:sz w:val="22"/>
          <w:szCs w:val="22"/>
        </w:rPr>
      </w:pPr>
      <w:r>
        <w:rPr>
          <w:rFonts w:ascii="宋体" w:hAnsi="宋体"/>
          <w:i/>
          <w:sz w:val="22"/>
          <w:szCs w:val="22"/>
          <w:u w:val="single"/>
        </w:rPr>
        <w:t xml:space="preserve"> </w:t>
      </w:r>
      <w:r>
        <w:rPr>
          <w:rFonts w:ascii="宋体" w:hAnsi="宋体"/>
          <w:sz w:val="22"/>
          <w:szCs w:val="22"/>
          <w:u w:val="single"/>
        </w:rPr>
        <w:t>（</w:t>
      </w:r>
      <w:r>
        <w:rPr>
          <w:rFonts w:hint="eastAsia" w:ascii="宋体" w:hAnsi="宋体"/>
          <w:sz w:val="22"/>
          <w:szCs w:val="22"/>
          <w:u w:val="single"/>
        </w:rPr>
        <w:t>招标</w:t>
      </w:r>
      <w:r>
        <w:rPr>
          <w:rFonts w:ascii="宋体" w:hAnsi="宋体"/>
          <w:sz w:val="22"/>
          <w:szCs w:val="22"/>
          <w:u w:val="single"/>
        </w:rPr>
        <w:t xml:space="preserve">代理机构名称） </w:t>
      </w:r>
      <w:r>
        <w:rPr>
          <w:rFonts w:ascii="宋体" w:hAnsi="宋体"/>
          <w:sz w:val="22"/>
          <w:szCs w:val="22"/>
        </w:rPr>
        <w:t xml:space="preserve">： </w:t>
      </w:r>
      <w:r>
        <w:rPr>
          <w:rFonts w:ascii="宋体" w:hAnsi="宋体"/>
          <w:sz w:val="22"/>
          <w:szCs w:val="22"/>
        </w:rPr>
        <w:tab/>
      </w:r>
    </w:p>
    <w:p>
      <w:pPr>
        <w:wordWrap w:val="0"/>
        <w:spacing w:line="560" w:lineRule="exact"/>
        <w:ind w:firstLine="440" w:firstLineChars="200"/>
        <w:rPr>
          <w:rFonts w:ascii="宋体" w:hAnsi="宋体"/>
          <w:sz w:val="22"/>
          <w:szCs w:val="22"/>
        </w:rPr>
      </w:pPr>
      <w:r>
        <w:rPr>
          <w:rFonts w:ascii="宋体" w:hAnsi="宋体"/>
          <w:sz w:val="22"/>
          <w:szCs w:val="22"/>
        </w:rPr>
        <w:t>本单位已按</w:t>
      </w:r>
      <w:r>
        <w:rPr>
          <w:rFonts w:hint="eastAsia" w:ascii="宋体" w:hAnsi="宋体"/>
          <w:sz w:val="22"/>
          <w:szCs w:val="22"/>
          <w:u w:val="single"/>
        </w:rPr>
        <w:t xml:space="preserve">        </w:t>
      </w:r>
      <w:r>
        <w:rPr>
          <w:rFonts w:ascii="宋体" w:hAnsi="宋体"/>
          <w:sz w:val="22"/>
          <w:szCs w:val="22"/>
        </w:rPr>
        <w:t>项目（</w:t>
      </w:r>
      <w:r>
        <w:rPr>
          <w:rFonts w:hint="eastAsia" w:ascii="宋体" w:hAnsi="宋体"/>
          <w:sz w:val="22"/>
          <w:szCs w:val="22"/>
        </w:rPr>
        <w:t>项目</w:t>
      </w:r>
      <w:r>
        <w:rPr>
          <w:rFonts w:ascii="宋体" w:hAnsi="宋体"/>
          <w:sz w:val="22"/>
          <w:szCs w:val="22"/>
        </w:rPr>
        <w:t>编号：</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包号：</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）的招标文件要求，于</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年</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月</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日前以（付款形式）方式汇入指定帐户（帐户名称：</w:t>
      </w:r>
      <w:r>
        <w:rPr>
          <w:rFonts w:hint="eastAsia" w:ascii="宋体" w:hAnsi="宋体"/>
          <w:sz w:val="22"/>
          <w:szCs w:val="22"/>
          <w:u w:val="single"/>
        </w:rPr>
        <w:t xml:space="preserve">       </w:t>
      </w:r>
      <w:r>
        <w:rPr>
          <w:rFonts w:ascii="宋体" w:hAnsi="宋体"/>
          <w:sz w:val="22"/>
          <w:szCs w:val="22"/>
        </w:rPr>
        <w:t>，帐号</w:t>
      </w:r>
      <w:r>
        <w:rPr>
          <w:rFonts w:hint="eastAsia" w:ascii="宋体" w:hAnsi="宋体"/>
          <w:sz w:val="22"/>
          <w:szCs w:val="22"/>
          <w:u w:val="single"/>
        </w:rPr>
        <w:t xml:space="preserve">      </w:t>
      </w:r>
      <w:r>
        <w:rPr>
          <w:rFonts w:ascii="宋体" w:hAnsi="宋体"/>
          <w:sz w:val="22"/>
          <w:szCs w:val="22"/>
        </w:rPr>
        <w:t>,开户银行：</w:t>
      </w:r>
      <w:r>
        <w:rPr>
          <w:rFonts w:hint="eastAsia" w:ascii="宋体" w:hAnsi="宋体"/>
          <w:sz w:val="22"/>
          <w:szCs w:val="22"/>
          <w:u w:val="single"/>
        </w:rPr>
        <w:t xml:space="preserve">      </w:t>
      </w:r>
      <w:r>
        <w:rPr>
          <w:rFonts w:ascii="宋体" w:hAnsi="宋体"/>
          <w:sz w:val="22"/>
          <w:szCs w:val="22"/>
        </w:rPr>
        <w:t>）。</w:t>
      </w:r>
    </w:p>
    <w:p>
      <w:pPr>
        <w:spacing w:line="560" w:lineRule="exact"/>
        <w:ind w:firstLine="440" w:firstLineChars="200"/>
        <w:rPr>
          <w:rFonts w:ascii="宋体" w:hAnsi="宋体"/>
          <w:sz w:val="22"/>
          <w:szCs w:val="22"/>
        </w:rPr>
      </w:pPr>
      <w:r>
        <w:rPr>
          <w:rFonts w:ascii="宋体" w:hAnsi="宋体"/>
          <w:sz w:val="22"/>
          <w:szCs w:val="22"/>
        </w:rPr>
        <w:t>投标单位投标保证金的汇款情况：（详见附件－投标保证金进帐单）</w:t>
      </w:r>
    </w:p>
    <w:p>
      <w:pPr>
        <w:spacing w:line="560" w:lineRule="exact"/>
        <w:ind w:firstLine="440" w:firstLineChars="200"/>
        <w:rPr>
          <w:rFonts w:ascii="宋体" w:hAnsi="宋体"/>
          <w:sz w:val="22"/>
          <w:szCs w:val="22"/>
        </w:rPr>
      </w:pPr>
      <w:r>
        <w:rPr>
          <w:rFonts w:ascii="宋体" w:hAnsi="宋体"/>
          <w:sz w:val="22"/>
          <w:szCs w:val="22"/>
        </w:rPr>
        <w:t>汇出时间：</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年</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月</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日；</w:t>
      </w:r>
    </w:p>
    <w:p>
      <w:pPr>
        <w:spacing w:line="560" w:lineRule="exact"/>
        <w:ind w:firstLine="440" w:firstLineChars="200"/>
        <w:rPr>
          <w:rFonts w:ascii="宋体" w:hAnsi="宋体"/>
          <w:sz w:val="22"/>
          <w:szCs w:val="22"/>
          <w:u w:val="single"/>
        </w:rPr>
      </w:pPr>
      <w:r>
        <w:rPr>
          <w:rFonts w:ascii="宋体" w:hAnsi="宋体"/>
          <w:sz w:val="22"/>
          <w:szCs w:val="22"/>
        </w:rPr>
        <w:t>汇款金额：（大写）人民币</w:t>
      </w:r>
      <w:r>
        <w:rPr>
          <w:rFonts w:ascii="宋体" w:hAnsi="宋体"/>
          <w:sz w:val="22"/>
          <w:szCs w:val="22"/>
          <w:u w:val="single"/>
        </w:rPr>
        <w:t xml:space="preserve">                 元整</w:t>
      </w:r>
      <w:r>
        <w:rPr>
          <w:rFonts w:ascii="宋体" w:hAnsi="宋体"/>
          <w:sz w:val="22"/>
          <w:szCs w:val="22"/>
        </w:rPr>
        <w:t>（小写：¥元）；</w:t>
      </w:r>
    </w:p>
    <w:p>
      <w:pPr>
        <w:spacing w:line="560" w:lineRule="exact"/>
        <w:ind w:firstLine="440" w:firstLineChars="200"/>
        <w:rPr>
          <w:rFonts w:ascii="宋体" w:hAnsi="宋体"/>
          <w:sz w:val="22"/>
          <w:szCs w:val="22"/>
          <w:u w:val="single"/>
        </w:rPr>
      </w:pPr>
      <w:r>
        <w:rPr>
          <w:rFonts w:ascii="宋体" w:hAnsi="宋体"/>
          <w:sz w:val="22"/>
          <w:szCs w:val="22"/>
        </w:rPr>
        <w:t>汇款帐户名称：</w:t>
      </w:r>
      <w:r>
        <w:rPr>
          <w:rFonts w:ascii="宋体" w:hAnsi="宋体"/>
          <w:sz w:val="22"/>
          <w:szCs w:val="22"/>
          <w:u w:val="single"/>
        </w:rPr>
        <w:t xml:space="preserve">  （必须是投标时使用的单位名称）   </w:t>
      </w:r>
    </w:p>
    <w:p>
      <w:pPr>
        <w:spacing w:line="560" w:lineRule="exact"/>
        <w:ind w:firstLine="440" w:firstLineChars="200"/>
        <w:rPr>
          <w:rFonts w:ascii="宋体" w:hAnsi="宋体"/>
          <w:sz w:val="22"/>
          <w:szCs w:val="22"/>
        </w:rPr>
      </w:pPr>
      <w:r>
        <w:rPr>
          <w:rFonts w:ascii="宋体" w:hAnsi="宋体"/>
          <w:sz w:val="22"/>
          <w:szCs w:val="22"/>
        </w:rPr>
        <w:t>帐        号：</w:t>
      </w:r>
      <w:r>
        <w:rPr>
          <w:rFonts w:ascii="宋体" w:hAnsi="宋体"/>
          <w:sz w:val="22"/>
          <w:szCs w:val="22"/>
          <w:u w:val="single"/>
        </w:rPr>
        <w:t xml:space="preserve">  （必须是投标时使用的帐号）     </w:t>
      </w:r>
    </w:p>
    <w:p>
      <w:pPr>
        <w:spacing w:line="560" w:lineRule="exact"/>
        <w:ind w:firstLine="440" w:firstLineChars="200"/>
        <w:rPr>
          <w:rFonts w:ascii="宋体" w:hAnsi="宋体"/>
          <w:sz w:val="22"/>
          <w:szCs w:val="22"/>
          <w:u w:val="single"/>
        </w:rPr>
      </w:pPr>
      <w:r>
        <w:rPr>
          <w:rFonts w:ascii="宋体" w:hAnsi="宋体"/>
          <w:sz w:val="22"/>
          <w:szCs w:val="22"/>
        </w:rPr>
        <w:t>开 户  银 行：</w:t>
      </w:r>
      <w:r>
        <w:rPr>
          <w:rFonts w:ascii="宋体" w:hAnsi="宋体"/>
          <w:sz w:val="22"/>
          <w:szCs w:val="22"/>
          <w:u w:val="single"/>
        </w:rPr>
        <w:t xml:space="preserve">    银行   省    市      (分行/支行)    </w:t>
      </w:r>
    </w:p>
    <w:p>
      <w:pPr>
        <w:spacing w:line="560" w:lineRule="exact"/>
        <w:ind w:firstLine="440" w:firstLineChars="200"/>
        <w:rPr>
          <w:rFonts w:ascii="宋体" w:hAnsi="宋体"/>
          <w:sz w:val="22"/>
          <w:szCs w:val="22"/>
        </w:rPr>
      </w:pPr>
      <w:r>
        <w:rPr>
          <w:rFonts w:ascii="宋体" w:hAnsi="宋体"/>
          <w:sz w:val="22"/>
          <w:szCs w:val="22"/>
        </w:rPr>
        <w:t>本单位谨承诺上述资料是正确、真实的，如因上述证明与事实不符导致的一切损失，本单位保证承担赔偿等一切法律责任。</w:t>
      </w:r>
    </w:p>
    <w:p>
      <w:pPr>
        <w:spacing w:line="560" w:lineRule="exact"/>
        <w:ind w:firstLine="440" w:firstLineChars="200"/>
        <w:rPr>
          <w:rFonts w:ascii="宋体" w:hAnsi="宋体"/>
          <w:sz w:val="22"/>
          <w:szCs w:val="22"/>
        </w:rPr>
      </w:pPr>
      <w:r>
        <w:rPr>
          <w:rFonts w:ascii="宋体" w:hAnsi="宋体"/>
          <w:sz w:val="22"/>
          <w:szCs w:val="22"/>
        </w:rPr>
        <w:t>投标保证金退回时，请按上述资料退回。</w:t>
      </w:r>
    </w:p>
    <w:p>
      <w:pPr>
        <w:spacing w:line="560" w:lineRule="exact"/>
        <w:rPr>
          <w:rFonts w:ascii="宋体" w:hAnsi="宋体"/>
          <w:sz w:val="22"/>
          <w:szCs w:val="22"/>
        </w:rPr>
      </w:pPr>
      <w:r>
        <w:rPr>
          <w:rFonts w:ascii="宋体" w:hAnsi="宋体"/>
          <w:sz w:val="22"/>
          <w:szCs w:val="22"/>
        </w:rPr>
        <w:t>附件：投标保证金进帐单复印件（加盖公章）</w:t>
      </w:r>
    </w:p>
    <w:p>
      <w:pPr>
        <w:spacing w:line="560" w:lineRule="exact"/>
        <w:ind w:right="844" w:rightChars="402"/>
        <w:jc w:val="right"/>
        <w:rPr>
          <w:rFonts w:ascii="宋体" w:hAnsi="宋体"/>
          <w:sz w:val="22"/>
          <w:szCs w:val="22"/>
        </w:rPr>
      </w:pPr>
      <w:r>
        <w:rPr>
          <w:rFonts w:ascii="宋体" w:hAnsi="宋体"/>
          <w:sz w:val="22"/>
          <w:szCs w:val="22"/>
        </w:rPr>
        <w:t>（单位公章）</w:t>
      </w:r>
    </w:p>
    <w:p>
      <w:pPr>
        <w:spacing w:line="560" w:lineRule="exact"/>
        <w:ind w:right="628" w:rightChars="299"/>
        <w:jc w:val="right"/>
        <w:rPr>
          <w:rFonts w:ascii="宋体" w:hAnsi="宋体"/>
          <w:sz w:val="22"/>
          <w:szCs w:val="22"/>
        </w:rPr>
      </w:pPr>
      <w:r>
        <w:rPr>
          <w:rFonts w:ascii="宋体" w:hAnsi="宋体"/>
          <w:sz w:val="22"/>
          <w:szCs w:val="22"/>
        </w:rPr>
        <w:t>年   月   日</w:t>
      </w:r>
    </w:p>
    <w:p>
      <w:pPr>
        <w:spacing w:line="560" w:lineRule="exact"/>
        <w:rPr>
          <w:rFonts w:ascii="宋体" w:hAnsi="宋体"/>
          <w:sz w:val="22"/>
          <w:szCs w:val="22"/>
          <w:u w:val="single"/>
        </w:rPr>
      </w:pPr>
      <w:r>
        <w:rPr>
          <w:rFonts w:ascii="宋体" w:hAnsi="宋体"/>
          <w:sz w:val="22"/>
          <w:szCs w:val="22"/>
        </w:rPr>
        <w:t>单位名称：</w:t>
      </w:r>
      <w:r>
        <w:rPr>
          <w:rFonts w:ascii="宋体" w:hAnsi="宋体" w:eastAsia="宋体"/>
          <w:szCs w:val="21"/>
          <w:u w:val="single"/>
        </w:rPr>
        <w:t xml:space="preserve">                           </w:t>
      </w:r>
    </w:p>
    <w:p>
      <w:pPr>
        <w:spacing w:line="560" w:lineRule="exact"/>
        <w:rPr>
          <w:rFonts w:ascii="宋体" w:hAnsi="宋体"/>
          <w:sz w:val="22"/>
          <w:szCs w:val="22"/>
        </w:rPr>
      </w:pPr>
      <w:r>
        <w:rPr>
          <w:rFonts w:ascii="宋体" w:hAnsi="宋体"/>
          <w:sz w:val="22"/>
          <w:szCs w:val="22"/>
        </w:rPr>
        <w:t>单位地址：</w:t>
      </w:r>
      <w:r>
        <w:rPr>
          <w:rFonts w:ascii="宋体" w:hAnsi="宋体" w:eastAsia="宋体"/>
          <w:szCs w:val="21"/>
          <w:u w:val="single"/>
        </w:rPr>
        <w:t xml:space="preserve">                           </w:t>
      </w:r>
    </w:p>
    <w:p>
      <w:pPr>
        <w:spacing w:line="560" w:lineRule="exact"/>
        <w:rPr>
          <w:rFonts w:ascii="宋体" w:hAnsi="宋体"/>
          <w:sz w:val="22"/>
          <w:szCs w:val="22"/>
        </w:rPr>
      </w:pPr>
      <w:r>
        <w:rPr>
          <w:rFonts w:ascii="宋体" w:hAnsi="宋体"/>
          <w:sz w:val="22"/>
          <w:szCs w:val="22"/>
        </w:rPr>
        <w:t>联系人：</w:t>
      </w:r>
      <w:r>
        <w:rPr>
          <w:rFonts w:ascii="宋体" w:hAnsi="宋体" w:eastAsia="宋体"/>
          <w:szCs w:val="21"/>
          <w:u w:val="single"/>
        </w:rPr>
        <w:t xml:space="preserve">                           </w:t>
      </w:r>
    </w:p>
    <w:p>
      <w:pPr>
        <w:spacing w:line="560" w:lineRule="exact"/>
        <w:rPr>
          <w:rFonts w:ascii="宋体" w:hAnsi="宋体"/>
          <w:b/>
          <w:sz w:val="22"/>
          <w:szCs w:val="22"/>
        </w:rPr>
      </w:pPr>
      <w:r>
        <w:rPr>
          <w:rFonts w:ascii="宋体" w:hAnsi="宋体"/>
          <w:sz w:val="22"/>
          <w:szCs w:val="22"/>
        </w:rPr>
        <w:t>单位电话：</w:t>
      </w:r>
      <w:r>
        <w:rPr>
          <w:rFonts w:ascii="宋体" w:hAnsi="宋体" w:eastAsia="宋体"/>
          <w:szCs w:val="21"/>
          <w:u w:val="single"/>
        </w:rPr>
        <w:t xml:space="preserve">                           </w:t>
      </w:r>
      <w:r>
        <w:rPr>
          <w:rFonts w:ascii="宋体" w:hAnsi="宋体"/>
          <w:sz w:val="22"/>
          <w:szCs w:val="22"/>
        </w:rPr>
        <w:t xml:space="preserve">             联系人手机：</w:t>
      </w:r>
      <w:bookmarkStart w:id="273" w:name="_Toc22501"/>
      <w:bookmarkStart w:id="274" w:name="_Toc22687"/>
      <w:bookmarkStart w:id="275" w:name="_Toc8091"/>
      <w:bookmarkStart w:id="276" w:name="_Toc441844133"/>
      <w:bookmarkStart w:id="277" w:name="_Toc8607"/>
      <w:bookmarkStart w:id="278" w:name="_Toc4585"/>
      <w:r>
        <w:rPr>
          <w:rFonts w:ascii="宋体" w:hAnsi="宋体" w:eastAsia="宋体"/>
          <w:szCs w:val="21"/>
          <w:u w:val="single"/>
        </w:rPr>
        <w:t xml:space="preserve">                           </w:t>
      </w:r>
      <w:r>
        <w:rPr>
          <w:rFonts w:ascii="宋体" w:hAnsi="宋体"/>
          <w:b/>
          <w:sz w:val="22"/>
          <w:szCs w:val="22"/>
        </w:rPr>
        <w:br w:type="page"/>
      </w:r>
    </w:p>
    <w:p>
      <w:pPr>
        <w:pStyle w:val="5"/>
        <w:jc w:val="center"/>
        <w:rPr>
          <w:rFonts w:ascii="Times New Roman" w:hAnsi="Times New Roman"/>
          <w:sz w:val="24"/>
        </w:rPr>
      </w:pPr>
      <w:bookmarkStart w:id="279" w:name="_Toc61529885"/>
      <w:r>
        <w:rPr>
          <w:rFonts w:ascii="Times New Roman" w:hAnsi="Times New Roman"/>
          <w:sz w:val="24"/>
        </w:rPr>
        <w:t>1</w:t>
      </w:r>
      <w:r>
        <w:rPr>
          <w:rFonts w:hint="eastAsia" w:ascii="Times New Roman" w:hAnsi="Times New Roman"/>
          <w:sz w:val="24"/>
          <w:lang w:val="en-US" w:eastAsia="zh-CN"/>
        </w:rPr>
        <w:t>7</w:t>
      </w:r>
      <w:r>
        <w:rPr>
          <w:rFonts w:ascii="Times New Roman" w:hAnsi="Times New Roman"/>
          <w:sz w:val="24"/>
        </w:rPr>
        <w:t>、中标服务费承诺书</w:t>
      </w:r>
      <w:bookmarkEnd w:id="273"/>
      <w:bookmarkEnd w:id="274"/>
      <w:bookmarkEnd w:id="275"/>
      <w:bookmarkEnd w:id="276"/>
      <w:bookmarkEnd w:id="277"/>
      <w:bookmarkEnd w:id="278"/>
      <w:bookmarkEnd w:id="279"/>
    </w:p>
    <w:p>
      <w:pPr>
        <w:spacing w:line="520" w:lineRule="exact"/>
        <w:ind w:left="315"/>
        <w:rPr>
          <w:rFonts w:ascii="宋体" w:hAnsi="宋体"/>
          <w:sz w:val="22"/>
          <w:szCs w:val="22"/>
        </w:rPr>
      </w:pPr>
      <w:r>
        <w:rPr>
          <w:rFonts w:ascii="宋体" w:hAnsi="宋体"/>
          <w:sz w:val="22"/>
          <w:szCs w:val="22"/>
          <w:u w:val="single"/>
        </w:rPr>
        <w:t>（</w:t>
      </w:r>
      <w:r>
        <w:rPr>
          <w:rFonts w:hint="eastAsia" w:ascii="宋体" w:hAnsi="宋体"/>
          <w:sz w:val="22"/>
          <w:szCs w:val="22"/>
          <w:u w:val="single"/>
        </w:rPr>
        <w:t>招标</w:t>
      </w:r>
      <w:r>
        <w:rPr>
          <w:rFonts w:ascii="宋体" w:hAnsi="宋体"/>
          <w:sz w:val="22"/>
          <w:szCs w:val="22"/>
          <w:u w:val="single"/>
        </w:rPr>
        <w:t xml:space="preserve">代理机构名称）   </w:t>
      </w:r>
      <w:r>
        <w:rPr>
          <w:rFonts w:ascii="宋体" w:hAnsi="宋体"/>
          <w:sz w:val="22"/>
          <w:szCs w:val="22"/>
        </w:rPr>
        <w:t>：</w:t>
      </w:r>
    </w:p>
    <w:p>
      <w:pPr>
        <w:spacing w:line="520" w:lineRule="exact"/>
        <w:ind w:left="315" w:leftChars="150" w:firstLine="440" w:firstLineChars="200"/>
        <w:rPr>
          <w:rFonts w:ascii="宋体" w:hAnsi="宋体"/>
          <w:sz w:val="22"/>
          <w:szCs w:val="22"/>
        </w:rPr>
      </w:pPr>
      <w:r>
        <w:rPr>
          <w:rFonts w:ascii="宋体" w:hAnsi="宋体"/>
          <w:sz w:val="22"/>
          <w:szCs w:val="22"/>
        </w:rPr>
        <w:t>本公司</w:t>
      </w:r>
      <w:r>
        <w:rPr>
          <w:rFonts w:ascii="宋体" w:hAnsi="宋体"/>
          <w:sz w:val="22"/>
          <w:szCs w:val="22"/>
          <w:u w:val="single"/>
        </w:rPr>
        <w:t xml:space="preserve">  (投标人名称) </w:t>
      </w:r>
      <w:r>
        <w:rPr>
          <w:rFonts w:ascii="宋体" w:hAnsi="宋体"/>
          <w:sz w:val="22"/>
          <w:szCs w:val="22"/>
        </w:rPr>
        <w:t>在参加在贵公司举行的</w:t>
      </w:r>
      <w:r>
        <w:rPr>
          <w:rFonts w:ascii="宋体" w:hAnsi="宋体"/>
          <w:sz w:val="22"/>
          <w:szCs w:val="22"/>
          <w:u w:val="single"/>
        </w:rPr>
        <w:t xml:space="preserve">        </w:t>
      </w:r>
      <w:r>
        <w:rPr>
          <w:rFonts w:ascii="宋体" w:hAnsi="宋体"/>
          <w:sz w:val="22"/>
          <w:szCs w:val="22"/>
        </w:rPr>
        <w:t>项目(</w:t>
      </w:r>
      <w:r>
        <w:rPr>
          <w:rFonts w:hint="eastAsia" w:ascii="宋体" w:hAnsi="宋体"/>
          <w:sz w:val="22"/>
          <w:szCs w:val="22"/>
        </w:rPr>
        <w:t>项目</w:t>
      </w:r>
      <w:r>
        <w:rPr>
          <w:rFonts w:ascii="宋体" w:hAnsi="宋体"/>
          <w:sz w:val="22"/>
          <w:szCs w:val="22"/>
        </w:rPr>
        <w:t>编号：</w:t>
      </w:r>
      <w:r>
        <w:rPr>
          <w:rFonts w:hint="eastAsia" w:ascii="宋体" w:hAnsi="宋体"/>
          <w:sz w:val="22"/>
          <w:szCs w:val="22"/>
          <w:u w:val="single"/>
        </w:rPr>
        <w:t xml:space="preserve">    </w:t>
      </w:r>
      <w:r>
        <w:rPr>
          <w:rFonts w:hint="eastAsia" w:ascii="宋体" w:hAnsi="宋体"/>
          <w:sz w:val="22"/>
          <w:szCs w:val="22"/>
        </w:rPr>
        <w:t>包号：</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)采购中如获中标，我公司保证在收到“中标通知书”后3天内，按本招标文件第二章第5.2条的有关规定，向贵公司交纳“中标服务费”。</w:t>
      </w:r>
    </w:p>
    <w:p>
      <w:pPr>
        <w:spacing w:line="520" w:lineRule="exact"/>
        <w:ind w:left="315" w:leftChars="150" w:firstLine="440" w:firstLineChars="200"/>
        <w:rPr>
          <w:rFonts w:ascii="宋体" w:hAnsi="宋体"/>
          <w:sz w:val="22"/>
          <w:szCs w:val="22"/>
        </w:rPr>
      </w:pPr>
      <w:r>
        <w:rPr>
          <w:rFonts w:ascii="宋体" w:hAnsi="宋体"/>
          <w:sz w:val="22"/>
          <w:szCs w:val="22"/>
        </w:rPr>
        <w:t>如我方违约，愿凭贵方开出的违约通知，按上述承付金额200%由采购人在支付给我司的</w:t>
      </w:r>
      <w:r>
        <w:rPr>
          <w:rFonts w:hint="eastAsia" w:ascii="宋体" w:hAnsi="宋体"/>
          <w:sz w:val="22"/>
          <w:szCs w:val="22"/>
        </w:rPr>
        <w:t>合同金额中代为扣付</w:t>
      </w:r>
      <w:r>
        <w:rPr>
          <w:rFonts w:ascii="宋体" w:hAnsi="宋体"/>
          <w:sz w:val="22"/>
          <w:szCs w:val="22"/>
        </w:rPr>
        <w:t>。</w:t>
      </w:r>
    </w:p>
    <w:p>
      <w:pPr>
        <w:spacing w:line="520" w:lineRule="exact"/>
        <w:ind w:left="315"/>
        <w:rPr>
          <w:rFonts w:ascii="宋体" w:hAnsi="宋体"/>
          <w:sz w:val="22"/>
          <w:szCs w:val="22"/>
        </w:rPr>
      </w:pPr>
    </w:p>
    <w:p>
      <w:pPr>
        <w:spacing w:line="520" w:lineRule="exact"/>
        <w:ind w:firstLine="880" w:firstLineChars="400"/>
        <w:rPr>
          <w:rFonts w:ascii="宋体" w:hAnsi="宋体"/>
          <w:sz w:val="22"/>
          <w:szCs w:val="22"/>
        </w:rPr>
      </w:pPr>
      <w:r>
        <w:rPr>
          <w:rFonts w:ascii="宋体" w:hAnsi="宋体"/>
          <w:sz w:val="22"/>
          <w:szCs w:val="22"/>
        </w:rPr>
        <w:t>特此承诺!</w:t>
      </w:r>
    </w:p>
    <w:p>
      <w:pPr>
        <w:spacing w:line="520" w:lineRule="exact"/>
        <w:ind w:left="315"/>
        <w:rPr>
          <w:rFonts w:ascii="宋体" w:hAnsi="宋体"/>
          <w:sz w:val="22"/>
          <w:szCs w:val="22"/>
        </w:rPr>
      </w:pPr>
    </w:p>
    <w:p>
      <w:pPr>
        <w:spacing w:line="360" w:lineRule="auto"/>
        <w:ind w:left="315"/>
        <w:rPr>
          <w:rFonts w:ascii="宋体" w:hAnsi="宋体" w:eastAsia="宋体"/>
          <w:szCs w:val="21"/>
        </w:rPr>
      </w:pPr>
      <w:r>
        <w:rPr>
          <w:rFonts w:ascii="宋体"/>
          <w:sz w:val="22"/>
          <w:szCs w:val="22"/>
        </w:rPr>
        <w:t>投标人名称(公章)：</w:t>
      </w:r>
      <w:r>
        <w:rPr>
          <w:rFonts w:hint="eastAsia" w:ascii="宋体" w:hAnsi="宋体" w:eastAsia="宋体"/>
          <w:szCs w:val="21"/>
          <w:u w:val="single"/>
        </w:rPr>
        <w:t xml:space="preserve"> </w:t>
      </w:r>
      <w:r>
        <w:rPr>
          <w:rFonts w:ascii="宋体" w:hAnsi="宋体" w:eastAsia="宋体"/>
          <w:szCs w:val="21"/>
          <w:u w:val="single"/>
        </w:rPr>
        <w:t xml:space="preserve">                          </w:t>
      </w:r>
    </w:p>
    <w:p>
      <w:pPr>
        <w:spacing w:line="360" w:lineRule="auto"/>
        <w:ind w:left="315"/>
        <w:rPr>
          <w:rFonts w:ascii="宋体" w:hAnsi="宋体" w:eastAsia="宋体"/>
          <w:szCs w:val="21"/>
        </w:rPr>
      </w:pPr>
      <w:r>
        <w:rPr>
          <w:rFonts w:ascii="宋体"/>
          <w:sz w:val="22"/>
          <w:szCs w:val="22"/>
        </w:rPr>
        <w:t>单位地址：</w:t>
      </w:r>
      <w:r>
        <w:rPr>
          <w:rFonts w:hint="eastAsia" w:ascii="宋体" w:hAnsi="宋体" w:eastAsia="宋体"/>
          <w:szCs w:val="21"/>
          <w:u w:val="single"/>
        </w:rPr>
        <w:t xml:space="preserve"> </w:t>
      </w:r>
      <w:r>
        <w:rPr>
          <w:rFonts w:ascii="宋体" w:hAnsi="宋体" w:eastAsia="宋体"/>
          <w:szCs w:val="21"/>
          <w:u w:val="single"/>
        </w:rPr>
        <w:t xml:space="preserve">                          </w:t>
      </w:r>
    </w:p>
    <w:p>
      <w:pPr>
        <w:spacing w:line="360" w:lineRule="auto"/>
        <w:ind w:left="315"/>
        <w:rPr>
          <w:rFonts w:ascii="宋体" w:hAnsi="宋体" w:eastAsia="宋体"/>
          <w:szCs w:val="21"/>
        </w:rPr>
      </w:pPr>
      <w:r>
        <w:rPr>
          <w:rFonts w:ascii="宋体"/>
          <w:sz w:val="22"/>
          <w:szCs w:val="22"/>
        </w:rPr>
        <w:t>电话：</w:t>
      </w:r>
      <w:r>
        <w:rPr>
          <w:rFonts w:hint="eastAsia" w:ascii="宋体" w:hAnsi="宋体" w:eastAsia="宋体"/>
          <w:szCs w:val="21"/>
          <w:u w:val="single"/>
        </w:rPr>
        <w:t xml:space="preserve"> </w:t>
      </w:r>
      <w:r>
        <w:rPr>
          <w:rFonts w:ascii="宋体" w:hAnsi="宋体" w:eastAsia="宋体"/>
          <w:szCs w:val="21"/>
          <w:u w:val="single"/>
        </w:rPr>
        <w:t xml:space="preserve">                          </w:t>
      </w:r>
    </w:p>
    <w:p>
      <w:pPr>
        <w:spacing w:line="360" w:lineRule="auto"/>
        <w:ind w:left="315"/>
        <w:rPr>
          <w:rFonts w:ascii="宋体" w:hAnsi="宋体" w:eastAsia="宋体"/>
          <w:szCs w:val="21"/>
        </w:rPr>
      </w:pPr>
      <w:r>
        <w:rPr>
          <w:rFonts w:ascii="宋体"/>
          <w:sz w:val="22"/>
          <w:szCs w:val="22"/>
        </w:rPr>
        <w:t>传真：</w:t>
      </w:r>
      <w:r>
        <w:rPr>
          <w:rFonts w:hint="eastAsia" w:ascii="宋体" w:hAnsi="宋体" w:eastAsia="宋体"/>
          <w:szCs w:val="21"/>
          <w:u w:val="single"/>
        </w:rPr>
        <w:t xml:space="preserve"> </w:t>
      </w:r>
      <w:r>
        <w:rPr>
          <w:rFonts w:ascii="宋体" w:hAnsi="宋体" w:eastAsia="宋体"/>
          <w:szCs w:val="21"/>
          <w:u w:val="single"/>
        </w:rPr>
        <w:t xml:space="preserve">                          </w:t>
      </w:r>
    </w:p>
    <w:p>
      <w:pPr>
        <w:spacing w:line="360" w:lineRule="auto"/>
        <w:ind w:left="315"/>
        <w:rPr>
          <w:rFonts w:ascii="宋体" w:hAnsi="宋体" w:eastAsia="宋体"/>
          <w:szCs w:val="21"/>
        </w:rPr>
      </w:pPr>
      <w:r>
        <w:rPr>
          <w:rFonts w:ascii="宋体"/>
          <w:sz w:val="22"/>
          <w:szCs w:val="22"/>
        </w:rPr>
        <w:t>投标人法定代表人或授权</w:t>
      </w:r>
      <w:r>
        <w:rPr>
          <w:rFonts w:hint="eastAsia" w:ascii="宋体"/>
          <w:sz w:val="22"/>
          <w:szCs w:val="22"/>
        </w:rPr>
        <w:t>代表</w:t>
      </w:r>
      <w:r>
        <w:rPr>
          <w:rFonts w:ascii="宋体"/>
          <w:sz w:val="22"/>
          <w:szCs w:val="22"/>
        </w:rPr>
        <w:t>（</w:t>
      </w:r>
      <w:r>
        <w:rPr>
          <w:rFonts w:hint="eastAsia" w:ascii="宋体"/>
          <w:sz w:val="22"/>
          <w:szCs w:val="22"/>
        </w:rPr>
        <w:t>签名或盖章</w:t>
      </w:r>
      <w:r>
        <w:rPr>
          <w:rFonts w:ascii="宋体"/>
          <w:sz w:val="22"/>
          <w:szCs w:val="22"/>
        </w:rPr>
        <w:t>）：</w:t>
      </w:r>
      <w:r>
        <w:rPr>
          <w:rFonts w:hint="eastAsia" w:ascii="宋体" w:hAnsi="宋体" w:eastAsia="宋体"/>
          <w:szCs w:val="21"/>
          <w:u w:val="single"/>
        </w:rPr>
        <w:t xml:space="preserve"> </w:t>
      </w:r>
      <w:r>
        <w:rPr>
          <w:rFonts w:ascii="宋体" w:hAnsi="宋体" w:eastAsia="宋体"/>
          <w:szCs w:val="21"/>
          <w:u w:val="single"/>
        </w:rPr>
        <w:t xml:space="preserve">                          </w:t>
      </w:r>
    </w:p>
    <w:p>
      <w:pPr>
        <w:spacing w:line="360" w:lineRule="auto"/>
        <w:ind w:left="315"/>
        <w:rPr>
          <w:rFonts w:ascii="宋体" w:hAnsi="宋体" w:eastAsia="宋体"/>
          <w:szCs w:val="21"/>
        </w:rPr>
      </w:pPr>
      <w:r>
        <w:rPr>
          <w:rFonts w:ascii="宋体"/>
          <w:sz w:val="22"/>
          <w:szCs w:val="22"/>
        </w:rPr>
        <w:t>签署日期：</w:t>
      </w:r>
      <w:r>
        <w:rPr>
          <w:rFonts w:hint="eastAsia" w:ascii="宋体" w:hAnsi="宋体" w:eastAsia="宋体"/>
          <w:szCs w:val="21"/>
          <w:u w:val="single"/>
        </w:rPr>
        <w:t xml:space="preserve"> </w:t>
      </w:r>
      <w:r>
        <w:rPr>
          <w:rFonts w:ascii="宋体" w:hAnsi="宋体" w:eastAsia="宋体"/>
          <w:szCs w:val="21"/>
          <w:u w:val="single"/>
        </w:rPr>
        <w:t xml:space="preserve">                          </w:t>
      </w:r>
    </w:p>
    <w:p>
      <w:pPr>
        <w:pStyle w:val="99"/>
        <w:ind w:firstLine="3520" w:firstLineChars="1600"/>
        <w:rPr>
          <w:rFonts w:ascii="宋体" w:eastAsia="宋体"/>
          <w:sz w:val="22"/>
          <w:szCs w:val="22"/>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pStyle w:val="99"/>
        <w:ind w:firstLine="3520" w:firstLineChars="1600"/>
        <w:rPr>
          <w:rFonts w:ascii="宋体" w:eastAsia="宋体"/>
          <w:sz w:val="22"/>
          <w:szCs w:val="22"/>
        </w:rPr>
      </w:pPr>
    </w:p>
    <w:p>
      <w:pPr>
        <w:widowControl/>
        <w:jc w:val="left"/>
        <w:rPr>
          <w:rFonts w:ascii="宋体"/>
          <w:sz w:val="22"/>
          <w:szCs w:val="22"/>
        </w:rPr>
      </w:pPr>
      <w:r>
        <w:rPr>
          <w:rFonts w:ascii="宋体"/>
          <w:sz w:val="22"/>
          <w:szCs w:val="22"/>
        </w:rPr>
        <w:br w:type="page"/>
      </w:r>
    </w:p>
    <w:p>
      <w:pPr>
        <w:widowControl/>
        <w:jc w:val="left"/>
        <w:rPr>
          <w:rFonts w:ascii="宋体"/>
          <w:sz w:val="22"/>
          <w:szCs w:val="22"/>
        </w:rPr>
      </w:pPr>
    </w:p>
    <w:p>
      <w:pPr>
        <w:pStyle w:val="5"/>
        <w:jc w:val="center"/>
        <w:rPr>
          <w:rFonts w:ascii="宋体" w:hAnsi="宋体"/>
          <w:sz w:val="24"/>
          <w:szCs w:val="24"/>
        </w:rPr>
      </w:pPr>
      <w:bookmarkStart w:id="280" w:name="_Toc439325729"/>
      <w:bookmarkStart w:id="281" w:name="_Toc61529886"/>
      <w:bookmarkStart w:id="282" w:name="_Toc441844134"/>
      <w:r>
        <w:rPr>
          <w:rFonts w:ascii="宋体" w:hAnsi="宋体"/>
          <w:sz w:val="24"/>
          <w:szCs w:val="24"/>
        </w:rPr>
        <w:t>1</w:t>
      </w:r>
      <w:r>
        <w:rPr>
          <w:rFonts w:hint="eastAsia" w:ascii="宋体" w:hAnsi="宋体"/>
          <w:sz w:val="24"/>
          <w:szCs w:val="24"/>
          <w:lang w:val="en-US" w:eastAsia="zh-CN"/>
        </w:rPr>
        <w:t>8</w:t>
      </w:r>
      <w:r>
        <w:rPr>
          <w:rFonts w:ascii="宋体" w:hAnsi="宋体"/>
          <w:sz w:val="24"/>
          <w:szCs w:val="24"/>
        </w:rPr>
        <w:t>、投标人认为需加以说明的其他内容</w:t>
      </w:r>
      <w:bookmarkEnd w:id="280"/>
      <w:bookmarkEnd w:id="281"/>
      <w:bookmarkEnd w:id="282"/>
    </w:p>
    <w:p>
      <w:pPr>
        <w:spacing w:after="60"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sz w:val="22"/>
          <w:szCs w:val="22"/>
        </w:rPr>
      </w:pPr>
    </w:p>
    <w:p>
      <w:pPr>
        <w:spacing w:line="360" w:lineRule="auto"/>
        <w:jc w:val="center"/>
        <w:rPr>
          <w:rFonts w:ascii="宋体" w:hAnsi="宋体"/>
          <w:sz w:val="22"/>
          <w:szCs w:val="22"/>
        </w:rPr>
      </w:pPr>
      <w:r>
        <w:rPr>
          <w:rFonts w:ascii="宋体" w:hAnsi="宋体"/>
          <w:sz w:val="22"/>
          <w:szCs w:val="22"/>
        </w:rPr>
        <w:t>格  式  自  定</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spacing w:line="360" w:lineRule="auto"/>
        <w:rPr>
          <w:rFonts w:ascii="Times New Roman" w:hAnsi="Times New Roman"/>
          <w:sz w:val="22"/>
          <w:szCs w:val="22"/>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Times New Roman" w:hAnsi="Times New Roman"/>
          <w:szCs w:val="21"/>
          <w:u w:val="single"/>
        </w:rPr>
      </w:pPr>
    </w:p>
    <w:p>
      <w:pPr>
        <w:tabs>
          <w:tab w:val="left" w:pos="360"/>
        </w:tabs>
        <w:spacing w:line="360" w:lineRule="auto"/>
        <w:rPr>
          <w:rFonts w:ascii="Times New Roman" w:hAnsi="Times New Roman"/>
          <w:b/>
          <w:szCs w:val="21"/>
        </w:rPr>
      </w:pPr>
    </w:p>
    <w:p>
      <w:pPr>
        <w:widowControl/>
        <w:jc w:val="left"/>
        <w:rPr>
          <w:rFonts w:ascii="Times New Roman" w:hAnsi="Times New Roman"/>
          <w:b/>
          <w:szCs w:val="21"/>
        </w:rPr>
      </w:pPr>
      <w:r>
        <w:rPr>
          <w:rFonts w:ascii="Times New Roman" w:hAnsi="Times New Roman"/>
          <w:b/>
          <w:szCs w:val="21"/>
        </w:rPr>
        <w:br w:type="page"/>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bookmarkStart w:id="283" w:name="_Toc88985379"/>
      <w:bookmarkStart w:id="284" w:name="_Toc210188803"/>
      <w:bookmarkStart w:id="285" w:name="_Toc427232356"/>
      <w:bookmarkStart w:id="286" w:name="_Toc441844139"/>
      <w:bookmarkStart w:id="287" w:name="_Toc271551224"/>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sz w:val="22"/>
          <w:szCs w:val="22"/>
        </w:rPr>
      </w:pPr>
    </w:p>
    <w:p>
      <w:pPr>
        <w:spacing w:after="60" w:line="360" w:lineRule="auto"/>
        <w:ind w:left="2349" w:hanging="2349" w:hangingChars="500"/>
        <w:jc w:val="center"/>
        <w:outlineLvl w:val="1"/>
        <w:rPr>
          <w:rFonts w:ascii="Times New Roman" w:hAnsi="Times New Roman"/>
          <w:b/>
          <w:bCs/>
          <w:spacing w:val="-6"/>
          <w:sz w:val="48"/>
          <w:szCs w:val="48"/>
        </w:rPr>
      </w:pPr>
      <w:bookmarkStart w:id="288" w:name="_Toc61529887"/>
      <w:r>
        <w:rPr>
          <w:rFonts w:ascii="Times New Roman" w:hAnsi="Times New Roman"/>
          <w:b/>
          <w:bCs/>
          <w:spacing w:val="-6"/>
          <w:sz w:val="48"/>
          <w:szCs w:val="48"/>
        </w:rPr>
        <w:t>三、唱标信封</w:t>
      </w:r>
      <w:bookmarkEnd w:id="283"/>
      <w:bookmarkEnd w:id="284"/>
      <w:bookmarkEnd w:id="285"/>
      <w:bookmarkEnd w:id="286"/>
      <w:bookmarkEnd w:id="287"/>
      <w:bookmarkEnd w:id="288"/>
    </w:p>
    <w:p>
      <w:pPr>
        <w:pStyle w:val="99"/>
        <w:spacing w:line="560" w:lineRule="exact"/>
        <w:ind w:firstLine="0" w:firstLineChars="0"/>
        <w:rPr>
          <w:rFonts w:ascii="Times New Roman" w:hAnsi="Times New Roman" w:eastAsia="宋体"/>
          <w:sz w:val="22"/>
          <w:szCs w:val="22"/>
        </w:rPr>
      </w:pPr>
    </w:p>
    <w:p>
      <w:pPr>
        <w:pStyle w:val="99"/>
        <w:spacing w:line="560" w:lineRule="exact"/>
        <w:ind w:firstLine="0" w:firstLineChars="0"/>
        <w:rPr>
          <w:rFonts w:ascii="宋体" w:eastAsia="宋体"/>
          <w:sz w:val="22"/>
          <w:szCs w:val="22"/>
        </w:rPr>
      </w:pPr>
      <w:r>
        <w:rPr>
          <w:rFonts w:ascii="宋体" w:eastAsia="宋体"/>
          <w:sz w:val="22"/>
          <w:szCs w:val="22"/>
        </w:rPr>
        <w:t>唱标信封内装：</w:t>
      </w:r>
    </w:p>
    <w:p>
      <w:pPr>
        <w:spacing w:line="360" w:lineRule="auto"/>
        <w:rPr>
          <w:rFonts w:ascii="宋体" w:hAnsi="宋体"/>
          <w:sz w:val="22"/>
          <w:szCs w:val="22"/>
        </w:rPr>
      </w:pPr>
      <w:r>
        <w:rPr>
          <w:rFonts w:ascii="宋体" w:hAnsi="宋体"/>
          <w:sz w:val="22"/>
          <w:szCs w:val="22"/>
        </w:rPr>
        <w:t>1.投标报价一览表；</w:t>
      </w:r>
    </w:p>
    <w:p>
      <w:pPr>
        <w:spacing w:line="360" w:lineRule="auto"/>
        <w:rPr>
          <w:rFonts w:ascii="宋体" w:hAnsi="宋体" w:eastAsia="宋体"/>
          <w:szCs w:val="21"/>
        </w:rPr>
      </w:pPr>
      <w:r>
        <w:rPr>
          <w:rFonts w:hint="eastAsia" w:ascii="宋体" w:hAnsi="宋体" w:eastAsia="宋体"/>
          <w:szCs w:val="21"/>
        </w:rPr>
        <w:t>2.投标分项报价表；</w:t>
      </w:r>
    </w:p>
    <w:p>
      <w:pPr>
        <w:spacing w:line="360" w:lineRule="auto"/>
        <w:rPr>
          <w:rFonts w:ascii="宋体" w:hAnsi="宋体"/>
          <w:sz w:val="22"/>
          <w:szCs w:val="22"/>
        </w:rPr>
      </w:pPr>
      <w:r>
        <w:rPr>
          <w:rFonts w:ascii="宋体" w:hAnsi="宋体"/>
          <w:sz w:val="22"/>
          <w:szCs w:val="22"/>
        </w:rPr>
        <w:t>3.投标保证金汇入情况说明及投标保证金复印件加盖公章</w:t>
      </w:r>
      <w:r>
        <w:rPr>
          <w:rFonts w:hint="eastAsia" w:ascii="宋体" w:hAnsi="宋体"/>
          <w:sz w:val="22"/>
          <w:szCs w:val="22"/>
          <w:highlight w:val="none"/>
        </w:rPr>
        <w:t>（或投标担保函复印件加盖公章）</w:t>
      </w:r>
      <w:r>
        <w:rPr>
          <w:rFonts w:ascii="宋体" w:hAnsi="宋体"/>
          <w:sz w:val="22"/>
          <w:szCs w:val="22"/>
          <w:highlight w:val="none"/>
        </w:rPr>
        <w:t>；</w:t>
      </w:r>
    </w:p>
    <w:p>
      <w:pPr>
        <w:spacing w:line="360" w:lineRule="auto"/>
        <w:rPr>
          <w:rFonts w:ascii="宋体" w:hAnsi="宋体" w:eastAsia="宋体" w:cs="宋体"/>
          <w:bCs/>
          <w:szCs w:val="21"/>
        </w:rPr>
      </w:pPr>
      <w:r>
        <w:rPr>
          <w:rFonts w:ascii="宋体" w:hAnsi="宋体"/>
          <w:sz w:val="22"/>
          <w:szCs w:val="22"/>
        </w:rPr>
        <w:t>4.</w:t>
      </w:r>
      <w:r>
        <w:rPr>
          <w:rFonts w:hint="eastAsia" w:ascii="宋体" w:hAnsi="宋体" w:eastAsia="宋体"/>
          <w:szCs w:val="21"/>
        </w:rPr>
        <w:t>法定代表人授权委托书及被授权代表身份证复印件加盖公章（如法定代表人投标则附法定代表人身份证明书）；</w:t>
      </w:r>
    </w:p>
    <w:p>
      <w:pPr>
        <w:spacing w:line="360" w:lineRule="auto"/>
        <w:rPr>
          <w:rFonts w:ascii="宋体" w:hAnsi="宋体"/>
          <w:sz w:val="22"/>
          <w:szCs w:val="22"/>
        </w:rPr>
      </w:pPr>
      <w:r>
        <w:rPr>
          <w:rFonts w:ascii="宋体" w:hAnsi="宋体"/>
          <w:sz w:val="22"/>
          <w:szCs w:val="22"/>
        </w:rPr>
        <w:t>5.电子文件</w:t>
      </w:r>
      <w:r>
        <w:rPr>
          <w:rFonts w:ascii="宋体" w:hAnsi="宋体"/>
          <w:bCs/>
          <w:sz w:val="22"/>
          <w:szCs w:val="22"/>
        </w:rPr>
        <w:t>。</w:t>
      </w:r>
    </w:p>
    <w:p>
      <w:pPr>
        <w:spacing w:line="360" w:lineRule="auto"/>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spacing w:line="560" w:lineRule="exact"/>
        <w:rPr>
          <w:rFonts w:ascii="Times New Roman" w:hAnsi="Times New Roman"/>
          <w:szCs w:val="21"/>
        </w:rPr>
      </w:pPr>
    </w:p>
    <w:p>
      <w:pPr>
        <w:widowControl/>
        <w:jc w:val="left"/>
        <w:rPr>
          <w:rFonts w:ascii="Times New Roman" w:hAnsi="Times New Roman"/>
          <w:b/>
          <w:bCs/>
          <w:spacing w:val="-6"/>
          <w:sz w:val="48"/>
          <w:szCs w:val="48"/>
        </w:rPr>
      </w:pPr>
      <w:bookmarkStart w:id="289" w:name="_Toc441844140"/>
      <w:r>
        <w:rPr>
          <w:rFonts w:ascii="Times New Roman" w:hAnsi="Times New Roman"/>
          <w:b/>
          <w:bCs/>
          <w:spacing w:val="-6"/>
          <w:sz w:val="48"/>
          <w:szCs w:val="48"/>
        </w:rPr>
        <w:br w:type="page"/>
      </w:r>
    </w:p>
    <w:p>
      <w:pPr>
        <w:spacing w:after="60" w:line="360" w:lineRule="auto"/>
        <w:ind w:left="2349" w:hanging="2349" w:hangingChars="500"/>
        <w:jc w:val="center"/>
        <w:outlineLvl w:val="1"/>
        <w:rPr>
          <w:rFonts w:ascii="Times New Roman" w:hAnsi="Times New Roman"/>
          <w:b/>
          <w:bCs/>
          <w:spacing w:val="-6"/>
          <w:sz w:val="48"/>
          <w:szCs w:val="48"/>
        </w:rPr>
      </w:pPr>
      <w:bookmarkStart w:id="290" w:name="_Toc61529888"/>
      <w:r>
        <w:rPr>
          <w:rFonts w:ascii="Times New Roman" w:hAnsi="Times New Roman"/>
          <w:b/>
          <w:bCs/>
          <w:spacing w:val="-6"/>
          <w:sz w:val="48"/>
          <w:szCs w:val="48"/>
        </w:rPr>
        <w:t>四、</w:t>
      </w:r>
      <w:bookmarkStart w:id="291" w:name="_Toc427232357"/>
      <w:bookmarkStart w:id="292" w:name="_Toc363828419"/>
      <w:r>
        <w:rPr>
          <w:rFonts w:ascii="Times New Roman" w:hAnsi="Times New Roman"/>
          <w:b/>
          <w:bCs/>
          <w:spacing w:val="-6"/>
          <w:sz w:val="48"/>
          <w:szCs w:val="48"/>
        </w:rPr>
        <w:t>无线胶装样式</w:t>
      </w:r>
      <w:bookmarkEnd w:id="289"/>
      <w:bookmarkEnd w:id="290"/>
      <w:bookmarkEnd w:id="291"/>
      <w:bookmarkEnd w:id="292"/>
    </w:p>
    <w:p>
      <w:pPr>
        <w:ind w:left="1050" w:hanging="1050"/>
        <w:rPr>
          <w:rFonts w:ascii="Times New Roman" w:hAnsi="Times New Roman"/>
        </w:rPr>
      </w:pPr>
    </w:p>
    <w:p>
      <w:pPr>
        <w:ind w:left="1050" w:hanging="1050"/>
        <w:jc w:val="center"/>
        <w:rPr>
          <w:rFonts w:ascii="Times New Roman" w:hAnsi="Times New Roman"/>
          <w:spacing w:val="-6"/>
          <w:sz w:val="48"/>
          <w:szCs w:val="48"/>
        </w:rPr>
      </w:pPr>
      <w:r>
        <w:rPr>
          <w:rFonts w:ascii="Times New Roman" w:hAnsi="Times New Roman"/>
        </w:rPr>
        <w:drawing>
          <wp:inline distT="0" distB="0" distL="114300" distR="114300">
            <wp:extent cx="5248275" cy="4029075"/>
            <wp:effectExtent l="0" t="0" r="9525" b="9525"/>
            <wp:docPr id="2" name="图片 1" descr="QQ图片20130724100524_2345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130724100524_2345看图王"/>
                    <pic:cNvPicPr>
                      <a:picLocks noChangeAspect="1"/>
                    </pic:cNvPicPr>
                  </pic:nvPicPr>
                  <pic:blipFill>
                    <a:blip r:embed="rId13"/>
                    <a:stretch>
                      <a:fillRect/>
                    </a:stretch>
                  </pic:blipFill>
                  <pic:spPr>
                    <a:xfrm>
                      <a:off x="0" y="0"/>
                      <a:ext cx="5248275" cy="4029075"/>
                    </a:xfrm>
                    <a:prstGeom prst="rect">
                      <a:avLst/>
                    </a:prstGeom>
                    <a:noFill/>
                    <a:ln>
                      <a:noFill/>
                    </a:ln>
                  </pic:spPr>
                </pic:pic>
              </a:graphicData>
            </a:graphic>
          </wp:inline>
        </w:drawing>
      </w:r>
    </w:p>
    <w:p>
      <w:pPr>
        <w:ind w:left="1050" w:hanging="1050"/>
        <w:jc w:val="center"/>
        <w:rPr>
          <w:rFonts w:ascii="Times New Roman" w:hAnsi="Times New Roman"/>
          <w:bCs/>
          <w:spacing w:val="-6"/>
          <w:sz w:val="48"/>
          <w:szCs w:val="48"/>
        </w:rPr>
      </w:pPr>
      <w:r>
        <w:rPr>
          <w:rFonts w:ascii="Times New Roman" w:hAnsi="Times New Roman"/>
        </w:rPr>
        <w:drawing>
          <wp:inline distT="0" distB="0" distL="114300" distR="114300">
            <wp:extent cx="5238750" cy="3514725"/>
            <wp:effectExtent l="0" t="0" r="0" b="9525"/>
            <wp:docPr id="3" name="图片 4" descr="QQ图片2013072410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QQ图片20130724100529"/>
                    <pic:cNvPicPr>
                      <a:picLocks noChangeAspect="1"/>
                    </pic:cNvPicPr>
                  </pic:nvPicPr>
                  <pic:blipFill>
                    <a:blip r:embed="rId14"/>
                    <a:stretch>
                      <a:fillRect/>
                    </a:stretch>
                  </pic:blipFill>
                  <pic:spPr>
                    <a:xfrm>
                      <a:off x="0" y="0"/>
                      <a:ext cx="5238750" cy="3514725"/>
                    </a:xfrm>
                    <a:prstGeom prst="rect">
                      <a:avLst/>
                    </a:prstGeom>
                    <a:noFill/>
                    <a:ln>
                      <a:noFill/>
                    </a:ln>
                  </pic:spPr>
                </pic:pic>
              </a:graphicData>
            </a:graphic>
          </wp:inline>
        </w:drawing>
      </w:r>
    </w:p>
    <w:p>
      <w:pPr>
        <w:widowControl/>
        <w:jc w:val="left"/>
        <w:rPr>
          <w:rFonts w:ascii="Times New Roman" w:hAnsi="Times New Roman"/>
          <w:sz w:val="22"/>
          <w:szCs w:val="22"/>
        </w:rPr>
      </w:pPr>
    </w:p>
    <w:sectPr>
      <w:footerReference r:id="rId10" w:type="first"/>
      <w:footerReference r:id="rId9" w:type="default"/>
      <w:pgSz w:w="11906" w:h="16838"/>
      <w:pgMar w:top="1327" w:right="1276" w:bottom="1327" w:left="144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_GB2312">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Arial Narrow">
    <w:altName w:val="Arial"/>
    <w:panose1 w:val="020B0606020202030204"/>
    <w:charset w:val="00"/>
    <w:family w:val="swiss"/>
    <w:pitch w:val="default"/>
    <w:sig w:usb0="00000287" w:usb1="00000800" w:usb2="00000000" w:usb3="00000000" w:csb0="2000009F" w:csb1="DFD70000"/>
  </w:font>
  <w:font w:name="Microsoft YaHei UI">
    <w:altName w:val="宋体"/>
    <w:panose1 w:val="020B0503020204020204"/>
    <w:charset w:val="86"/>
    <w:family w:val="swiss"/>
    <w:pitch w:val="default"/>
    <w:sig w:usb0="80000287" w:usb1="2ACF3C50" w:usb2="00000016" w:usb3="00000000" w:csb0="0004001F" w:csb1="00000000"/>
  </w:font>
  <w:font w:name="Sylfaen">
    <w:panose1 w:val="010A0502050306030303"/>
    <w:charset w:val="00"/>
    <w:family w:val="roman"/>
    <w:pitch w:val="default"/>
    <w:sig w:usb0="04000687" w:usb1="00000000" w:usb2="00000000" w:usb3="00000000" w:csb0="2000009F" w:csb1="00000000"/>
  </w:font>
  <w:font w:name="方正书宋简体">
    <w:altName w:val="宋体"/>
    <w:panose1 w:val="00000000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lang w:val="zh-CN"/>
      </w:rPr>
      <w:fldChar w:fldCharType="begin"/>
    </w:r>
    <w:r>
      <w:rPr>
        <w:lang w:val="zh-CN"/>
      </w:rPr>
      <w:instrText xml:space="preserve"> PAGE   \* MERGEFORMAT </w:instrText>
    </w:r>
    <w:r>
      <w:rPr>
        <w:lang w:val="zh-CN"/>
      </w:rPr>
      <w:fldChar w:fldCharType="separate"/>
    </w:r>
    <w:r>
      <w:rPr>
        <w:lang w:val="zh-CN"/>
      </w:rPr>
      <w:t>58</w:t>
    </w:r>
    <w:r>
      <w:rPr>
        <w:lang w:val="zh-CN"/>
      </w:rPr>
      <w:fldChar w:fldCharType="end"/>
    </w:r>
  </w:p>
  <w:p>
    <w:pPr>
      <w:pStyle w:val="31"/>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jc w:val="center"/>
                          </w:pPr>
                          <w:r>
                            <w:rPr>
                              <w:lang w:val="zh-CN"/>
                            </w:rPr>
                            <w:fldChar w:fldCharType="begin"/>
                          </w:r>
                          <w:r>
                            <w:rPr>
                              <w:lang w:val="zh-CN"/>
                            </w:rPr>
                            <w:instrText xml:space="preserve"> PAGE   \* MERGEFORMAT </w:instrText>
                          </w:r>
                          <w:r>
                            <w:rPr>
                              <w:lang w:val="zh-CN"/>
                            </w:rPr>
                            <w:fldChar w:fldCharType="separate"/>
                          </w:r>
                          <w:r>
                            <w:rPr>
                              <w:lang w:val="zh-CN"/>
                            </w:rPr>
                            <w:t>58</w:t>
                          </w:r>
                          <w:r>
                            <w:rPr>
                              <w:lang w:val="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pPr>
                      <w:pStyle w:val="31"/>
                      <w:jc w:val="center"/>
                    </w:pPr>
                    <w:r>
                      <w:rPr>
                        <w:lang w:val="zh-CN"/>
                      </w:rPr>
                      <w:fldChar w:fldCharType="begin"/>
                    </w:r>
                    <w:r>
                      <w:rPr>
                        <w:lang w:val="zh-CN"/>
                      </w:rPr>
                      <w:instrText xml:space="preserve"> PAGE   \* MERGEFORMAT </w:instrText>
                    </w:r>
                    <w:r>
                      <w:rPr>
                        <w:lang w:val="zh-CN"/>
                      </w:rPr>
                      <w:fldChar w:fldCharType="separate"/>
                    </w:r>
                    <w:r>
                      <w:rPr>
                        <w:lang w:val="zh-CN"/>
                      </w:rPr>
                      <w:t>58</w:t>
                    </w:r>
                    <w:r>
                      <w:rPr>
                        <w:lang w:val="zh-CN"/>
                      </w:rPr>
                      <w:fldChar w:fldCharType="end"/>
                    </w:r>
                  </w:p>
                </w:txbxContent>
              </v:textbox>
            </v:shape>
          </w:pict>
        </mc:Fallback>
      </mc:AlternateContent>
    </w:r>
  </w:p>
  <w:p>
    <w:pPr>
      <w:pStyle w:val="31"/>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6v2d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fq/Z3gEAAL4DAAAOAAAAAAAA&#10;AAEAIAAAAB4BAABkcnMvZTJvRG9jLnhtbFBLBQYAAAAABgAGAFkBAABu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789"/>
        <w:tab w:val="clear" w:pos="8306"/>
      </w:tabs>
    </w:pPr>
    <w:r>
      <w:rPr>
        <w:rFonts w:hint="eastAsia" w:ascii="宋体" w:hAnsi="宋体"/>
        <w:bCs/>
        <w:lang w:eastAsia="zh-CN"/>
      </w:rPr>
      <w:t>深圳市国信招标有限公司</w:t>
    </w:r>
    <w:r>
      <w:rPr>
        <w:rFonts w:hint="eastAsia" w:ascii="宋体" w:hAnsi="宋体"/>
        <w:bCs/>
      </w:rPr>
      <w:t xml:space="preserve"> </w:t>
    </w:r>
    <w:r>
      <w:rPr>
        <w:rFonts w:ascii="宋体" w:hAnsi="宋体"/>
        <w:bCs/>
      </w:rPr>
      <w:t xml:space="preserve">             </w:t>
    </w:r>
    <w:r>
      <w:rPr>
        <w:rFonts w:hint="eastAsia" w:ascii="宋体" w:hAnsi="宋体"/>
        <w:bCs/>
      </w:rPr>
      <w:t>东莞市轨道交通有限公司运营分公司2021年生产设备采购项目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789"/>
        <w:tab w:val="clear" w:pos="8306"/>
      </w:tabs>
    </w:pPr>
    <w:r>
      <w:rPr>
        <w:rFonts w:hint="eastAsia" w:ascii="宋体" w:hAnsi="宋体"/>
        <w:bCs/>
        <w:lang w:eastAsia="zh-CN"/>
      </w:rPr>
      <w:t>深圳市国信招标有限公司</w:t>
    </w:r>
    <w:r>
      <w:rPr>
        <w:rFonts w:hint="eastAsia" w:ascii="宋体" w:hAnsi="宋体"/>
        <w:bCs/>
      </w:rPr>
      <w:t xml:space="preserve"> </w:t>
    </w:r>
    <w:r>
      <w:rPr>
        <w:rFonts w:ascii="宋体" w:hAnsi="宋体"/>
        <w:bCs/>
      </w:rPr>
      <w:t xml:space="preserve">                     </w:t>
    </w:r>
    <w:r>
      <w:rPr>
        <w:rFonts w:hint="eastAsia" w:ascii="宋体" w:hAnsi="宋体"/>
        <w:bCs/>
      </w:rPr>
      <w:t>东莞市轨道交通有限公司运营分公司2021年生产设备采购项目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789"/>
        <w:tab w:val="clear" w:pos="8306"/>
      </w:tabs>
    </w:pPr>
    <w:bookmarkStart w:id="293" w:name="_Hlk46405145"/>
    <w:r>
      <w:rPr>
        <w:rFonts w:hint="eastAsia" w:ascii="宋体" w:hAnsi="宋体"/>
        <w:bCs/>
        <w:lang w:eastAsia="zh-CN"/>
      </w:rPr>
      <w:t>深圳市国信招标有限公司</w:t>
    </w:r>
    <w:r>
      <w:rPr>
        <w:rFonts w:hint="eastAsia" w:ascii="宋体" w:hAnsi="宋体"/>
        <w:bCs/>
      </w:rPr>
      <w:t xml:space="preserve"> </w:t>
    </w:r>
    <w:bookmarkEnd w:id="293"/>
    <w:r>
      <w:rPr>
        <w:rFonts w:ascii="宋体" w:hAnsi="宋体"/>
        <w:bCs/>
      </w:rPr>
      <w:t xml:space="preserve">                      </w:t>
    </w:r>
    <w:r>
      <w:rPr>
        <w:rFonts w:hint="eastAsia" w:ascii="宋体" w:hAnsi="宋体"/>
        <w:bCs/>
      </w:rPr>
      <w:t>东莞市轨道交通有限公司运营分公司2021年生产设备采购项目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3B4F"/>
    <w:multiLevelType w:val="singleLevel"/>
    <w:tmpl w:val="85A83B4F"/>
    <w:lvl w:ilvl="0" w:tentative="0">
      <w:start w:val="1"/>
      <w:numFmt w:val="chineseCounting"/>
      <w:suff w:val="nothing"/>
      <w:lvlText w:val="%1、"/>
      <w:lvlJc w:val="left"/>
      <w:rPr>
        <w:rFonts w:hint="eastAsia"/>
      </w:rPr>
    </w:lvl>
  </w:abstractNum>
  <w:abstractNum w:abstractNumId="1">
    <w:nsid w:val="9ECF4052"/>
    <w:multiLevelType w:val="singleLevel"/>
    <w:tmpl w:val="9ECF4052"/>
    <w:lvl w:ilvl="0" w:tentative="0">
      <w:start w:val="1"/>
      <w:numFmt w:val="decimal"/>
      <w:suff w:val="nothing"/>
      <w:lvlText w:val="%1."/>
      <w:lvlJc w:val="left"/>
    </w:lvl>
  </w:abstractNum>
  <w:abstractNum w:abstractNumId="2">
    <w:nsid w:val="A63CA0DC"/>
    <w:multiLevelType w:val="singleLevel"/>
    <w:tmpl w:val="A63CA0DC"/>
    <w:lvl w:ilvl="0" w:tentative="0">
      <w:start w:val="1"/>
      <w:numFmt w:val="decimal"/>
      <w:suff w:val="nothing"/>
      <w:lvlText w:val="%1、"/>
      <w:lvlJc w:val="left"/>
    </w:lvl>
  </w:abstractNum>
  <w:abstractNum w:abstractNumId="3">
    <w:nsid w:val="0000001F"/>
    <w:multiLevelType w:val="singleLevel"/>
    <w:tmpl w:val="0000001F"/>
    <w:lvl w:ilvl="0" w:tentative="0">
      <w:start w:val="1"/>
      <w:numFmt w:val="decimal"/>
      <w:lvlText w:val="(%1)"/>
      <w:lvlJc w:val="left"/>
      <w:pPr>
        <w:ind w:left="420" w:hanging="420"/>
      </w:pPr>
      <w:rPr>
        <w:rFonts w:hint="default"/>
      </w:rPr>
    </w:lvl>
  </w:abstractNum>
  <w:abstractNum w:abstractNumId="4">
    <w:nsid w:val="00000039"/>
    <w:multiLevelType w:val="multilevel"/>
    <w:tmpl w:val="00000039"/>
    <w:lvl w:ilvl="0" w:tentative="0">
      <w:start w:val="1"/>
      <w:numFmt w:val="decimal"/>
      <w:lvlText w:val="%1．"/>
      <w:lvlJc w:val="left"/>
      <w:pPr>
        <w:tabs>
          <w:tab w:val="left" w:pos="480"/>
        </w:tabs>
        <w:ind w:left="480" w:hanging="48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6B56F6"/>
    <w:multiLevelType w:val="multilevel"/>
    <w:tmpl w:val="036B56F6"/>
    <w:lvl w:ilvl="0" w:tentative="0">
      <w:start w:val="2"/>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D616F3"/>
    <w:multiLevelType w:val="multilevel"/>
    <w:tmpl w:val="05D616F3"/>
    <w:lvl w:ilvl="0" w:tentative="0">
      <w:start w:val="1"/>
      <w:numFmt w:val="decimal"/>
      <w:lvlText w:val="3.%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6B917BE"/>
    <w:multiLevelType w:val="multilevel"/>
    <w:tmpl w:val="06B917BE"/>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DFB046F"/>
    <w:multiLevelType w:val="multilevel"/>
    <w:tmpl w:val="0DFB046F"/>
    <w:lvl w:ilvl="0" w:tentative="0">
      <w:start w:val="1"/>
      <w:numFmt w:val="decimal"/>
      <w:lvlText w:val="2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5B5DDB"/>
    <w:multiLevelType w:val="multilevel"/>
    <w:tmpl w:val="0E5B5DDB"/>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242ED0"/>
    <w:multiLevelType w:val="multilevel"/>
    <w:tmpl w:val="12242ED0"/>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35F69BB"/>
    <w:multiLevelType w:val="multilevel"/>
    <w:tmpl w:val="135F69BB"/>
    <w:lvl w:ilvl="0" w:tentative="0">
      <w:start w:val="1"/>
      <w:numFmt w:val="decimal"/>
      <w:lvlText w:val="3.%1"/>
      <w:lvlJc w:val="left"/>
      <w:pPr>
        <w:ind w:left="293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E95106"/>
    <w:multiLevelType w:val="multilevel"/>
    <w:tmpl w:val="15E95106"/>
    <w:lvl w:ilvl="0" w:tentative="0">
      <w:start w:val="1"/>
      <w:numFmt w:val="decimal"/>
      <w:lvlText w:val="2.%1"/>
      <w:lvlJc w:val="left"/>
      <w:pPr>
        <w:ind w:left="75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8AE00AF"/>
    <w:multiLevelType w:val="multilevel"/>
    <w:tmpl w:val="18AE00AF"/>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B01E34"/>
    <w:multiLevelType w:val="multilevel"/>
    <w:tmpl w:val="19B01E34"/>
    <w:lvl w:ilvl="0" w:tentative="0">
      <w:start w:val="1"/>
      <w:numFmt w:val="decimal"/>
      <w:lvlText w:val="2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C9D6F21"/>
    <w:multiLevelType w:val="multilevel"/>
    <w:tmpl w:val="1C9D6F21"/>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FF779BD"/>
    <w:multiLevelType w:val="multilevel"/>
    <w:tmpl w:val="1FF779BD"/>
    <w:lvl w:ilvl="0" w:tentative="0">
      <w:start w:val="1"/>
      <w:numFmt w:val="decimal"/>
      <w:lvlText w:val="4.4.%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0977DA7"/>
    <w:multiLevelType w:val="multilevel"/>
    <w:tmpl w:val="20977DA7"/>
    <w:lvl w:ilvl="0" w:tentative="0">
      <w:start w:val="1"/>
      <w:numFmt w:val="decimal"/>
      <w:lvlText w:val="2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3373CFB"/>
    <w:multiLevelType w:val="multilevel"/>
    <w:tmpl w:val="23373CFB"/>
    <w:lvl w:ilvl="0" w:tentative="0">
      <w:start w:val="1"/>
      <w:numFmt w:val="decimal"/>
      <w:lvlText w:val="1.%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3407930"/>
    <w:multiLevelType w:val="multilevel"/>
    <w:tmpl w:val="23407930"/>
    <w:lvl w:ilvl="0" w:tentative="0">
      <w:start w:val="1"/>
      <w:numFmt w:val="decimal"/>
      <w:lvlText w:val="2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34EC4D6"/>
    <w:multiLevelType w:val="singleLevel"/>
    <w:tmpl w:val="234EC4D6"/>
    <w:lvl w:ilvl="0" w:tentative="0">
      <w:start w:val="1"/>
      <w:numFmt w:val="decimal"/>
      <w:suff w:val="nothing"/>
      <w:lvlText w:val="%1、"/>
      <w:lvlJc w:val="left"/>
    </w:lvl>
  </w:abstractNum>
  <w:abstractNum w:abstractNumId="21">
    <w:nsid w:val="249B1091"/>
    <w:multiLevelType w:val="multilevel"/>
    <w:tmpl w:val="249B1091"/>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7A94869"/>
    <w:multiLevelType w:val="multilevel"/>
    <w:tmpl w:val="27A9486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D96F79"/>
    <w:multiLevelType w:val="multilevel"/>
    <w:tmpl w:val="2ED96F79"/>
    <w:lvl w:ilvl="0" w:tentative="0">
      <w:start w:val="1"/>
      <w:numFmt w:val="decimal"/>
      <w:lvlText w:val="35.%1"/>
      <w:lvlJc w:val="left"/>
      <w:pPr>
        <w:ind w:left="42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F87164A"/>
    <w:multiLevelType w:val="multilevel"/>
    <w:tmpl w:val="2F87164A"/>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2D25E38"/>
    <w:multiLevelType w:val="multilevel"/>
    <w:tmpl w:val="32D25E38"/>
    <w:lvl w:ilvl="0" w:tentative="0">
      <w:start w:val="1"/>
      <w:numFmt w:val="decimal"/>
      <w:lvlText w:val="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3272FC0"/>
    <w:multiLevelType w:val="multilevel"/>
    <w:tmpl w:val="33272FC0"/>
    <w:lvl w:ilvl="0" w:tentative="0">
      <w:start w:val="1"/>
      <w:numFmt w:val="decimal"/>
      <w:lvlText w:val="2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5140FCC"/>
    <w:multiLevelType w:val="multilevel"/>
    <w:tmpl w:val="35140FCC"/>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9757662"/>
    <w:multiLevelType w:val="multilevel"/>
    <w:tmpl w:val="39757662"/>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B090AED"/>
    <w:multiLevelType w:val="multilevel"/>
    <w:tmpl w:val="3B090AED"/>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B340122"/>
    <w:multiLevelType w:val="multilevel"/>
    <w:tmpl w:val="3B340122"/>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D5FFC91"/>
    <w:multiLevelType w:val="singleLevel"/>
    <w:tmpl w:val="3D5FFC91"/>
    <w:lvl w:ilvl="0" w:tentative="0">
      <w:start w:val="1"/>
      <w:numFmt w:val="decimal"/>
      <w:suff w:val="nothing"/>
      <w:lvlText w:val="%1、"/>
      <w:lvlJc w:val="left"/>
    </w:lvl>
  </w:abstractNum>
  <w:abstractNum w:abstractNumId="32">
    <w:nsid w:val="3EE2F30A"/>
    <w:multiLevelType w:val="singleLevel"/>
    <w:tmpl w:val="3EE2F30A"/>
    <w:lvl w:ilvl="0" w:tentative="0">
      <w:start w:val="1"/>
      <w:numFmt w:val="decimal"/>
      <w:suff w:val="nothing"/>
      <w:lvlText w:val="%1、"/>
      <w:lvlJc w:val="left"/>
    </w:lvl>
  </w:abstractNum>
  <w:abstractNum w:abstractNumId="33">
    <w:nsid w:val="3F932A7F"/>
    <w:multiLevelType w:val="multilevel"/>
    <w:tmpl w:val="3F932A7F"/>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BD0427"/>
    <w:multiLevelType w:val="multilevel"/>
    <w:tmpl w:val="3FBD0427"/>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22E303B"/>
    <w:multiLevelType w:val="multilevel"/>
    <w:tmpl w:val="422E303B"/>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7C16F3C"/>
    <w:multiLevelType w:val="multilevel"/>
    <w:tmpl w:val="47C16F3C"/>
    <w:lvl w:ilvl="0" w:tentative="0">
      <w:start w:val="1"/>
      <w:numFmt w:val="decimal"/>
      <w:lvlText w:val="%1."/>
      <w:lvlJc w:val="left"/>
      <w:pPr>
        <w:ind w:left="3114" w:hanging="420"/>
      </w:pPr>
    </w:lvl>
    <w:lvl w:ilvl="1" w:tentative="0">
      <w:start w:val="1"/>
      <w:numFmt w:val="decimal"/>
      <w:isLgl/>
      <w:lvlText w:val="%1.%2"/>
      <w:lvlJc w:val="left"/>
      <w:pPr>
        <w:ind w:left="0" w:firstLine="0"/>
      </w:pPr>
      <w:rPr>
        <w:rFonts w:hint="default"/>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37">
    <w:nsid w:val="492D7C2F"/>
    <w:multiLevelType w:val="multilevel"/>
    <w:tmpl w:val="492D7C2F"/>
    <w:lvl w:ilvl="0" w:tentative="0">
      <w:start w:val="1"/>
      <w:numFmt w:val="decimal"/>
      <w:lvlText w:val="1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9E47DF9"/>
    <w:multiLevelType w:val="multilevel"/>
    <w:tmpl w:val="49E47DF9"/>
    <w:lvl w:ilvl="0" w:tentative="0">
      <w:start w:val="1"/>
      <w:numFmt w:val="decimal"/>
      <w:lvlText w:val="2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ADE72FF"/>
    <w:multiLevelType w:val="multilevel"/>
    <w:tmpl w:val="4ADE72FF"/>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27C1342"/>
    <w:multiLevelType w:val="multilevel"/>
    <w:tmpl w:val="527C1342"/>
    <w:lvl w:ilvl="0" w:tentative="0">
      <w:start w:val="1"/>
      <w:numFmt w:val="decimal"/>
      <w:lvlText w:val="4.%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29E9CBE"/>
    <w:multiLevelType w:val="singleLevel"/>
    <w:tmpl w:val="529E9CBE"/>
    <w:lvl w:ilvl="0" w:tentative="0">
      <w:start w:val="1"/>
      <w:numFmt w:val="decimal"/>
      <w:lvlText w:val="(%1)"/>
      <w:lvlJc w:val="left"/>
      <w:pPr>
        <w:ind w:left="420" w:hanging="420"/>
      </w:pPr>
      <w:rPr>
        <w:rFonts w:hint="default"/>
      </w:rPr>
    </w:lvl>
  </w:abstractNum>
  <w:abstractNum w:abstractNumId="42">
    <w:nsid w:val="53F2C71E"/>
    <w:multiLevelType w:val="singleLevel"/>
    <w:tmpl w:val="53F2C71E"/>
    <w:lvl w:ilvl="0" w:tentative="0">
      <w:start w:val="1"/>
      <w:numFmt w:val="decimal"/>
      <w:lvlText w:val="(%1)"/>
      <w:lvlJc w:val="left"/>
      <w:pPr>
        <w:ind w:left="420" w:hanging="420"/>
      </w:pPr>
      <w:rPr>
        <w:rFonts w:hint="default"/>
      </w:rPr>
    </w:lvl>
  </w:abstractNum>
  <w:abstractNum w:abstractNumId="43">
    <w:nsid w:val="58BE420E"/>
    <w:multiLevelType w:val="singleLevel"/>
    <w:tmpl w:val="58BE420E"/>
    <w:lvl w:ilvl="0" w:tentative="0">
      <w:start w:val="1"/>
      <w:numFmt w:val="decimal"/>
      <w:suff w:val="nothing"/>
      <w:lvlText w:val="%1、"/>
      <w:lvlJc w:val="left"/>
    </w:lvl>
  </w:abstractNum>
  <w:abstractNum w:abstractNumId="44">
    <w:nsid w:val="5B3B3D34"/>
    <w:multiLevelType w:val="multilevel"/>
    <w:tmpl w:val="5B3B3D34"/>
    <w:lvl w:ilvl="0" w:tentative="0">
      <w:start w:val="1"/>
      <w:numFmt w:val="decimal"/>
      <w:lvlText w:val="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E830E46"/>
    <w:multiLevelType w:val="multilevel"/>
    <w:tmpl w:val="5E830E46"/>
    <w:lvl w:ilvl="0" w:tentative="0">
      <w:start w:val="1"/>
      <w:numFmt w:val="decimal"/>
      <w:lvlText w:val="36.%1"/>
      <w:lvlJc w:val="left"/>
      <w:pPr>
        <w:ind w:left="42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127586E"/>
    <w:multiLevelType w:val="multilevel"/>
    <w:tmpl w:val="6127586E"/>
    <w:lvl w:ilvl="0" w:tentative="0">
      <w:start w:val="1"/>
      <w:numFmt w:val="decimal"/>
      <w:lvlText w:val="35.2.%1"/>
      <w:lvlJc w:val="left"/>
      <w:pPr>
        <w:ind w:left="420" w:hanging="420"/>
      </w:pPr>
      <w:rPr>
        <w:rFonts w:hint="eastAsia" w:ascii="宋体" w:hAnsi="宋体" w:eastAsia="宋体"/>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3CA1770"/>
    <w:multiLevelType w:val="multilevel"/>
    <w:tmpl w:val="63CA1770"/>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4CB035C"/>
    <w:multiLevelType w:val="multilevel"/>
    <w:tmpl w:val="64CB035C"/>
    <w:lvl w:ilvl="0" w:tentative="0">
      <w:start w:val="1"/>
      <w:numFmt w:val="decimal"/>
      <w:lvlText w:val="3.2.3.%1"/>
      <w:lvlJc w:val="left"/>
      <w:pPr>
        <w:ind w:left="293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70D3483"/>
    <w:multiLevelType w:val="multilevel"/>
    <w:tmpl w:val="670D3483"/>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73652E8"/>
    <w:multiLevelType w:val="multilevel"/>
    <w:tmpl w:val="673652E8"/>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8F255C4"/>
    <w:multiLevelType w:val="multilevel"/>
    <w:tmpl w:val="68F255C4"/>
    <w:lvl w:ilvl="0" w:tentative="0">
      <w:start w:val="1"/>
      <w:numFmt w:val="decimal"/>
      <w:lvlText w:val="2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C37522D"/>
    <w:multiLevelType w:val="multilevel"/>
    <w:tmpl w:val="6C37522D"/>
    <w:lvl w:ilvl="0" w:tentative="0">
      <w:start w:val="1"/>
      <w:numFmt w:val="decimal"/>
      <w:lvlText w:val="2.7.%1"/>
      <w:lvlJc w:val="left"/>
      <w:pPr>
        <w:ind w:left="25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E295D8C"/>
    <w:multiLevelType w:val="multilevel"/>
    <w:tmpl w:val="6E295D8C"/>
    <w:lvl w:ilvl="0" w:tentative="0">
      <w:start w:val="1"/>
      <w:numFmt w:val="decimal"/>
      <w:lvlText w:val="2.6.%1"/>
      <w:lvlJc w:val="left"/>
      <w:pPr>
        <w:ind w:left="271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02D315C"/>
    <w:multiLevelType w:val="multilevel"/>
    <w:tmpl w:val="702D315C"/>
    <w:lvl w:ilvl="0" w:tentative="0">
      <w:start w:val="1"/>
      <w:numFmt w:val="decimal"/>
      <w:lvlText w:val="23.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0C7430E"/>
    <w:multiLevelType w:val="multilevel"/>
    <w:tmpl w:val="70C7430E"/>
    <w:lvl w:ilvl="0" w:tentative="0">
      <w:start w:val="1"/>
      <w:numFmt w:val="decimal"/>
      <w:lvlText w:val="3.2.%1"/>
      <w:lvlJc w:val="left"/>
      <w:pPr>
        <w:ind w:left="293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2C40BD0"/>
    <w:multiLevelType w:val="multilevel"/>
    <w:tmpl w:val="72C40BD0"/>
    <w:lvl w:ilvl="0" w:tentative="0">
      <w:start w:val="1"/>
      <w:numFmt w:val="decimal"/>
      <w:lvlText w:val="37.%1"/>
      <w:lvlJc w:val="left"/>
      <w:pPr>
        <w:ind w:left="42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5E10196"/>
    <w:multiLevelType w:val="multilevel"/>
    <w:tmpl w:val="75E10196"/>
    <w:lvl w:ilvl="0" w:tentative="0">
      <w:start w:val="1"/>
      <w:numFmt w:val="decimal"/>
      <w:lvlText w:val="3.1.%1"/>
      <w:lvlJc w:val="left"/>
      <w:pPr>
        <w:ind w:left="2935"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7264906"/>
    <w:multiLevelType w:val="multilevel"/>
    <w:tmpl w:val="77264906"/>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8C74DF6"/>
    <w:multiLevelType w:val="multilevel"/>
    <w:tmpl w:val="78C74DF6"/>
    <w:lvl w:ilvl="0" w:tentative="0">
      <w:start w:val="1"/>
      <w:numFmt w:val="decimal"/>
      <w:lvlText w:val="5.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9396209"/>
    <w:multiLevelType w:val="multilevel"/>
    <w:tmpl w:val="79396209"/>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B605673"/>
    <w:multiLevelType w:val="multilevel"/>
    <w:tmpl w:val="7B605673"/>
    <w:lvl w:ilvl="0" w:tentative="0">
      <w:start w:val="1"/>
      <w:numFmt w:val="decimal"/>
      <w:lvlText w:val="3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B745647"/>
    <w:multiLevelType w:val="multilevel"/>
    <w:tmpl w:val="7B745647"/>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F412A3D"/>
    <w:multiLevelType w:val="multilevel"/>
    <w:tmpl w:val="7F412A3D"/>
    <w:lvl w:ilvl="0" w:tentative="0">
      <w:start w:val="1"/>
      <w:numFmt w:val="decimal"/>
      <w:lvlText w:val="2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0"/>
  </w:num>
  <w:num w:numId="3">
    <w:abstractNumId w:val="5"/>
  </w:num>
  <w:num w:numId="4">
    <w:abstractNumId w:val="36"/>
  </w:num>
  <w:num w:numId="5">
    <w:abstractNumId w:val="18"/>
  </w:num>
  <w:num w:numId="6">
    <w:abstractNumId w:val="44"/>
  </w:num>
  <w:num w:numId="7">
    <w:abstractNumId w:val="6"/>
  </w:num>
  <w:num w:numId="8">
    <w:abstractNumId w:val="40"/>
  </w:num>
  <w:num w:numId="9">
    <w:abstractNumId w:val="16"/>
  </w:num>
  <w:num w:numId="10">
    <w:abstractNumId w:val="58"/>
  </w:num>
  <w:num w:numId="11">
    <w:abstractNumId w:val="59"/>
  </w:num>
  <w:num w:numId="12">
    <w:abstractNumId w:val="9"/>
  </w:num>
  <w:num w:numId="13">
    <w:abstractNumId w:val="50"/>
  </w:num>
  <w:num w:numId="14">
    <w:abstractNumId w:val="15"/>
  </w:num>
  <w:num w:numId="15">
    <w:abstractNumId w:val="21"/>
  </w:num>
  <w:num w:numId="16">
    <w:abstractNumId w:val="35"/>
  </w:num>
  <w:num w:numId="17">
    <w:abstractNumId w:val="60"/>
  </w:num>
  <w:num w:numId="18">
    <w:abstractNumId w:val="3"/>
  </w:num>
  <w:num w:numId="19">
    <w:abstractNumId w:val="42"/>
  </w:num>
  <w:num w:numId="20">
    <w:abstractNumId w:val="41"/>
  </w:num>
  <w:num w:numId="21">
    <w:abstractNumId w:val="39"/>
  </w:num>
  <w:num w:numId="22">
    <w:abstractNumId w:val="62"/>
  </w:num>
  <w:num w:numId="23">
    <w:abstractNumId w:val="10"/>
  </w:num>
  <w:num w:numId="24">
    <w:abstractNumId w:val="13"/>
  </w:num>
  <w:num w:numId="25">
    <w:abstractNumId w:val="7"/>
  </w:num>
  <w:num w:numId="26">
    <w:abstractNumId w:val="29"/>
  </w:num>
  <w:num w:numId="27">
    <w:abstractNumId w:val="33"/>
  </w:num>
  <w:num w:numId="28">
    <w:abstractNumId w:val="37"/>
  </w:num>
  <w:num w:numId="29">
    <w:abstractNumId w:val="51"/>
  </w:num>
  <w:num w:numId="30">
    <w:abstractNumId w:val="26"/>
  </w:num>
  <w:num w:numId="31">
    <w:abstractNumId w:val="47"/>
  </w:num>
  <w:num w:numId="32">
    <w:abstractNumId w:val="38"/>
  </w:num>
  <w:num w:numId="33">
    <w:abstractNumId w:val="24"/>
  </w:num>
  <w:num w:numId="34">
    <w:abstractNumId w:val="54"/>
  </w:num>
  <w:num w:numId="35">
    <w:abstractNumId w:val="17"/>
  </w:num>
  <w:num w:numId="36">
    <w:abstractNumId w:val="25"/>
  </w:num>
  <w:num w:numId="37">
    <w:abstractNumId w:val="8"/>
  </w:num>
  <w:num w:numId="38">
    <w:abstractNumId w:val="14"/>
  </w:num>
  <w:num w:numId="39">
    <w:abstractNumId w:val="63"/>
  </w:num>
  <w:num w:numId="40">
    <w:abstractNumId w:val="19"/>
  </w:num>
  <w:num w:numId="41">
    <w:abstractNumId w:val="61"/>
  </w:num>
  <w:num w:numId="42">
    <w:abstractNumId w:val="28"/>
  </w:num>
  <w:num w:numId="43">
    <w:abstractNumId w:val="27"/>
  </w:num>
  <w:num w:numId="44">
    <w:abstractNumId w:val="34"/>
  </w:num>
  <w:num w:numId="45">
    <w:abstractNumId w:val="23"/>
  </w:num>
  <w:num w:numId="46">
    <w:abstractNumId w:val="46"/>
  </w:num>
  <w:num w:numId="47">
    <w:abstractNumId w:val="45"/>
  </w:num>
  <w:num w:numId="48">
    <w:abstractNumId w:val="56"/>
  </w:num>
  <w:num w:numId="49">
    <w:abstractNumId w:val="12"/>
  </w:num>
  <w:num w:numId="50">
    <w:abstractNumId w:val="53"/>
  </w:num>
  <w:num w:numId="51">
    <w:abstractNumId w:val="52"/>
  </w:num>
  <w:num w:numId="52">
    <w:abstractNumId w:val="11"/>
  </w:num>
  <w:num w:numId="53">
    <w:abstractNumId w:val="57"/>
  </w:num>
  <w:num w:numId="54">
    <w:abstractNumId w:val="55"/>
  </w:num>
  <w:num w:numId="55">
    <w:abstractNumId w:val="48"/>
  </w:num>
  <w:num w:numId="56">
    <w:abstractNumId w:val="1"/>
  </w:num>
  <w:num w:numId="57">
    <w:abstractNumId w:val="0"/>
  </w:num>
  <w:num w:numId="58">
    <w:abstractNumId w:val="20"/>
  </w:num>
  <w:num w:numId="59">
    <w:abstractNumId w:val="31"/>
  </w:num>
  <w:num w:numId="60">
    <w:abstractNumId w:val="2"/>
  </w:num>
  <w:num w:numId="61">
    <w:abstractNumId w:val="32"/>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A2"/>
    <w:rsid w:val="00001189"/>
    <w:rsid w:val="0000191F"/>
    <w:rsid w:val="00001C8D"/>
    <w:rsid w:val="00001CA8"/>
    <w:rsid w:val="0000324D"/>
    <w:rsid w:val="00004127"/>
    <w:rsid w:val="000048EC"/>
    <w:rsid w:val="00004BC5"/>
    <w:rsid w:val="0000510A"/>
    <w:rsid w:val="000058BE"/>
    <w:rsid w:val="00005955"/>
    <w:rsid w:val="00005E2C"/>
    <w:rsid w:val="00007C27"/>
    <w:rsid w:val="00007E12"/>
    <w:rsid w:val="000105D4"/>
    <w:rsid w:val="000107C0"/>
    <w:rsid w:val="00010E18"/>
    <w:rsid w:val="00010E91"/>
    <w:rsid w:val="00011449"/>
    <w:rsid w:val="00011C05"/>
    <w:rsid w:val="00012055"/>
    <w:rsid w:val="000132ED"/>
    <w:rsid w:val="00013E39"/>
    <w:rsid w:val="00014261"/>
    <w:rsid w:val="000142B1"/>
    <w:rsid w:val="0001430F"/>
    <w:rsid w:val="00014822"/>
    <w:rsid w:val="000148FD"/>
    <w:rsid w:val="000153A2"/>
    <w:rsid w:val="00015461"/>
    <w:rsid w:val="00015601"/>
    <w:rsid w:val="00015A5E"/>
    <w:rsid w:val="000161F2"/>
    <w:rsid w:val="000163BC"/>
    <w:rsid w:val="0001657D"/>
    <w:rsid w:val="00016591"/>
    <w:rsid w:val="000165C8"/>
    <w:rsid w:val="00016FB9"/>
    <w:rsid w:val="00017592"/>
    <w:rsid w:val="00017690"/>
    <w:rsid w:val="0001773B"/>
    <w:rsid w:val="0002004A"/>
    <w:rsid w:val="0002022A"/>
    <w:rsid w:val="00021ACC"/>
    <w:rsid w:val="00021B80"/>
    <w:rsid w:val="000222B5"/>
    <w:rsid w:val="00025026"/>
    <w:rsid w:val="000250B9"/>
    <w:rsid w:val="00025609"/>
    <w:rsid w:val="00025E98"/>
    <w:rsid w:val="0002608A"/>
    <w:rsid w:val="0002628B"/>
    <w:rsid w:val="0002646B"/>
    <w:rsid w:val="00026990"/>
    <w:rsid w:val="000273F2"/>
    <w:rsid w:val="000279F6"/>
    <w:rsid w:val="00031B2E"/>
    <w:rsid w:val="00033297"/>
    <w:rsid w:val="0003333F"/>
    <w:rsid w:val="00034A7F"/>
    <w:rsid w:val="00035428"/>
    <w:rsid w:val="00036D5E"/>
    <w:rsid w:val="000372BF"/>
    <w:rsid w:val="000375E6"/>
    <w:rsid w:val="00040203"/>
    <w:rsid w:val="0004024E"/>
    <w:rsid w:val="00040C26"/>
    <w:rsid w:val="00040EE0"/>
    <w:rsid w:val="0004138A"/>
    <w:rsid w:val="00041618"/>
    <w:rsid w:val="0004184E"/>
    <w:rsid w:val="00041D0B"/>
    <w:rsid w:val="0004277D"/>
    <w:rsid w:val="0004457C"/>
    <w:rsid w:val="000446E3"/>
    <w:rsid w:val="00044937"/>
    <w:rsid w:val="00044E97"/>
    <w:rsid w:val="00044FDE"/>
    <w:rsid w:val="00045468"/>
    <w:rsid w:val="000456FE"/>
    <w:rsid w:val="00046303"/>
    <w:rsid w:val="000478E9"/>
    <w:rsid w:val="00047CDB"/>
    <w:rsid w:val="00050433"/>
    <w:rsid w:val="000510D8"/>
    <w:rsid w:val="00051A87"/>
    <w:rsid w:val="00052641"/>
    <w:rsid w:val="00052BD7"/>
    <w:rsid w:val="00053110"/>
    <w:rsid w:val="000554B5"/>
    <w:rsid w:val="00055610"/>
    <w:rsid w:val="0005561E"/>
    <w:rsid w:val="00055E1A"/>
    <w:rsid w:val="00055F6D"/>
    <w:rsid w:val="00056AB5"/>
    <w:rsid w:val="00060E1F"/>
    <w:rsid w:val="00061739"/>
    <w:rsid w:val="00061A67"/>
    <w:rsid w:val="00061D88"/>
    <w:rsid w:val="00061FA0"/>
    <w:rsid w:val="00062485"/>
    <w:rsid w:val="000634CB"/>
    <w:rsid w:val="00063E8B"/>
    <w:rsid w:val="000663ED"/>
    <w:rsid w:val="0006657F"/>
    <w:rsid w:val="000672CF"/>
    <w:rsid w:val="00067D4E"/>
    <w:rsid w:val="00070E6A"/>
    <w:rsid w:val="00070FB6"/>
    <w:rsid w:val="0007125C"/>
    <w:rsid w:val="000715FC"/>
    <w:rsid w:val="000733E8"/>
    <w:rsid w:val="000738E0"/>
    <w:rsid w:val="00074A84"/>
    <w:rsid w:val="00075A95"/>
    <w:rsid w:val="0007684C"/>
    <w:rsid w:val="00076BF5"/>
    <w:rsid w:val="00077FA4"/>
    <w:rsid w:val="00080BA5"/>
    <w:rsid w:val="0008285A"/>
    <w:rsid w:val="00082F31"/>
    <w:rsid w:val="00083729"/>
    <w:rsid w:val="00083B1F"/>
    <w:rsid w:val="00083B42"/>
    <w:rsid w:val="000842FB"/>
    <w:rsid w:val="00085463"/>
    <w:rsid w:val="000854F1"/>
    <w:rsid w:val="0008583A"/>
    <w:rsid w:val="00085ACF"/>
    <w:rsid w:val="00086833"/>
    <w:rsid w:val="000879F4"/>
    <w:rsid w:val="000908D5"/>
    <w:rsid w:val="00090D64"/>
    <w:rsid w:val="0009151B"/>
    <w:rsid w:val="00091569"/>
    <w:rsid w:val="00092CB3"/>
    <w:rsid w:val="00093918"/>
    <w:rsid w:val="000946DF"/>
    <w:rsid w:val="00095D9B"/>
    <w:rsid w:val="00095DD6"/>
    <w:rsid w:val="000963DC"/>
    <w:rsid w:val="000964DA"/>
    <w:rsid w:val="000968E4"/>
    <w:rsid w:val="0009729B"/>
    <w:rsid w:val="00097382"/>
    <w:rsid w:val="000979BA"/>
    <w:rsid w:val="00097E1B"/>
    <w:rsid w:val="000A0490"/>
    <w:rsid w:val="000A0A85"/>
    <w:rsid w:val="000A1627"/>
    <w:rsid w:val="000A3380"/>
    <w:rsid w:val="000A3447"/>
    <w:rsid w:val="000A4F2F"/>
    <w:rsid w:val="000A4F94"/>
    <w:rsid w:val="000A64BE"/>
    <w:rsid w:val="000A72C9"/>
    <w:rsid w:val="000B0B84"/>
    <w:rsid w:val="000B1369"/>
    <w:rsid w:val="000B16AF"/>
    <w:rsid w:val="000B2C22"/>
    <w:rsid w:val="000B3417"/>
    <w:rsid w:val="000B3D62"/>
    <w:rsid w:val="000B491D"/>
    <w:rsid w:val="000B4AB9"/>
    <w:rsid w:val="000B5F1E"/>
    <w:rsid w:val="000B6596"/>
    <w:rsid w:val="000B68EB"/>
    <w:rsid w:val="000B69AA"/>
    <w:rsid w:val="000B7787"/>
    <w:rsid w:val="000B7A31"/>
    <w:rsid w:val="000C0909"/>
    <w:rsid w:val="000C0E13"/>
    <w:rsid w:val="000C0EB5"/>
    <w:rsid w:val="000C11D1"/>
    <w:rsid w:val="000C138F"/>
    <w:rsid w:val="000C2038"/>
    <w:rsid w:val="000C21D4"/>
    <w:rsid w:val="000C2811"/>
    <w:rsid w:val="000C34CB"/>
    <w:rsid w:val="000C3DEA"/>
    <w:rsid w:val="000C458D"/>
    <w:rsid w:val="000C47D8"/>
    <w:rsid w:val="000C49CD"/>
    <w:rsid w:val="000C4EBA"/>
    <w:rsid w:val="000C54C0"/>
    <w:rsid w:val="000C59B9"/>
    <w:rsid w:val="000C59DE"/>
    <w:rsid w:val="000C5E43"/>
    <w:rsid w:val="000C6B89"/>
    <w:rsid w:val="000C7EA0"/>
    <w:rsid w:val="000D0969"/>
    <w:rsid w:val="000D0998"/>
    <w:rsid w:val="000D0BA9"/>
    <w:rsid w:val="000D0EE6"/>
    <w:rsid w:val="000D14D7"/>
    <w:rsid w:val="000D16D2"/>
    <w:rsid w:val="000D1B5D"/>
    <w:rsid w:val="000D2651"/>
    <w:rsid w:val="000D27E0"/>
    <w:rsid w:val="000D306E"/>
    <w:rsid w:val="000D32D6"/>
    <w:rsid w:val="000D38C3"/>
    <w:rsid w:val="000D3EDD"/>
    <w:rsid w:val="000D527A"/>
    <w:rsid w:val="000D5A4E"/>
    <w:rsid w:val="000D5A62"/>
    <w:rsid w:val="000D5C15"/>
    <w:rsid w:val="000D5C1B"/>
    <w:rsid w:val="000D612D"/>
    <w:rsid w:val="000E012C"/>
    <w:rsid w:val="000E0658"/>
    <w:rsid w:val="000E1DD2"/>
    <w:rsid w:val="000E1F4B"/>
    <w:rsid w:val="000E33E2"/>
    <w:rsid w:val="000E34F3"/>
    <w:rsid w:val="000E376C"/>
    <w:rsid w:val="000E42F9"/>
    <w:rsid w:val="000E44F9"/>
    <w:rsid w:val="000E52CF"/>
    <w:rsid w:val="000E5815"/>
    <w:rsid w:val="000E5EF7"/>
    <w:rsid w:val="000E61C1"/>
    <w:rsid w:val="000E6254"/>
    <w:rsid w:val="000E656A"/>
    <w:rsid w:val="000E6B2D"/>
    <w:rsid w:val="000E7225"/>
    <w:rsid w:val="000E79C2"/>
    <w:rsid w:val="000F0A35"/>
    <w:rsid w:val="000F1D3A"/>
    <w:rsid w:val="000F2017"/>
    <w:rsid w:val="000F3066"/>
    <w:rsid w:val="000F57F3"/>
    <w:rsid w:val="000F5B12"/>
    <w:rsid w:val="000F5D20"/>
    <w:rsid w:val="000F6B30"/>
    <w:rsid w:val="000F6D8A"/>
    <w:rsid w:val="000F6E55"/>
    <w:rsid w:val="000F7B32"/>
    <w:rsid w:val="001007EF"/>
    <w:rsid w:val="001008D7"/>
    <w:rsid w:val="00101169"/>
    <w:rsid w:val="00101B2E"/>
    <w:rsid w:val="00101F21"/>
    <w:rsid w:val="00102145"/>
    <w:rsid w:val="001021A4"/>
    <w:rsid w:val="00103852"/>
    <w:rsid w:val="001047E4"/>
    <w:rsid w:val="0010494B"/>
    <w:rsid w:val="00104A36"/>
    <w:rsid w:val="00105201"/>
    <w:rsid w:val="00105385"/>
    <w:rsid w:val="00105746"/>
    <w:rsid w:val="001062CB"/>
    <w:rsid w:val="0010673D"/>
    <w:rsid w:val="001104C2"/>
    <w:rsid w:val="00110E05"/>
    <w:rsid w:val="00110EA4"/>
    <w:rsid w:val="00111327"/>
    <w:rsid w:val="00111C37"/>
    <w:rsid w:val="001125B4"/>
    <w:rsid w:val="00112B2B"/>
    <w:rsid w:val="00112B66"/>
    <w:rsid w:val="00112C2F"/>
    <w:rsid w:val="00113234"/>
    <w:rsid w:val="00116171"/>
    <w:rsid w:val="00116370"/>
    <w:rsid w:val="00116BF6"/>
    <w:rsid w:val="00116DD8"/>
    <w:rsid w:val="001178EF"/>
    <w:rsid w:val="00120005"/>
    <w:rsid w:val="00120063"/>
    <w:rsid w:val="0012009C"/>
    <w:rsid w:val="00120F3E"/>
    <w:rsid w:val="00121633"/>
    <w:rsid w:val="0012212A"/>
    <w:rsid w:val="001225AF"/>
    <w:rsid w:val="001228BA"/>
    <w:rsid w:val="001242E8"/>
    <w:rsid w:val="00124AC1"/>
    <w:rsid w:val="001260DC"/>
    <w:rsid w:val="00126749"/>
    <w:rsid w:val="00130160"/>
    <w:rsid w:val="00131AE0"/>
    <w:rsid w:val="00131D08"/>
    <w:rsid w:val="00132034"/>
    <w:rsid w:val="00133B00"/>
    <w:rsid w:val="00136554"/>
    <w:rsid w:val="001376EB"/>
    <w:rsid w:val="001403C4"/>
    <w:rsid w:val="00141271"/>
    <w:rsid w:val="00141A9C"/>
    <w:rsid w:val="00144BA3"/>
    <w:rsid w:val="00146A91"/>
    <w:rsid w:val="00150032"/>
    <w:rsid w:val="00152491"/>
    <w:rsid w:val="00153613"/>
    <w:rsid w:val="001538BC"/>
    <w:rsid w:val="00154046"/>
    <w:rsid w:val="001558D6"/>
    <w:rsid w:val="00155913"/>
    <w:rsid w:val="00155C01"/>
    <w:rsid w:val="00155CA4"/>
    <w:rsid w:val="001567A2"/>
    <w:rsid w:val="00160270"/>
    <w:rsid w:val="00160FC4"/>
    <w:rsid w:val="001618A5"/>
    <w:rsid w:val="0016194E"/>
    <w:rsid w:val="00161C42"/>
    <w:rsid w:val="00163529"/>
    <w:rsid w:val="001641A2"/>
    <w:rsid w:val="001648CA"/>
    <w:rsid w:val="0016532D"/>
    <w:rsid w:val="001653DE"/>
    <w:rsid w:val="00166555"/>
    <w:rsid w:val="00166707"/>
    <w:rsid w:val="001706F4"/>
    <w:rsid w:val="001708BD"/>
    <w:rsid w:val="00170AFD"/>
    <w:rsid w:val="00171295"/>
    <w:rsid w:val="0017137D"/>
    <w:rsid w:val="001725D4"/>
    <w:rsid w:val="001729E7"/>
    <w:rsid w:val="00172A27"/>
    <w:rsid w:val="00173E47"/>
    <w:rsid w:val="0017445B"/>
    <w:rsid w:val="00176067"/>
    <w:rsid w:val="00176405"/>
    <w:rsid w:val="0017642C"/>
    <w:rsid w:val="0017690B"/>
    <w:rsid w:val="00176CB9"/>
    <w:rsid w:val="00177390"/>
    <w:rsid w:val="0018004F"/>
    <w:rsid w:val="0018025C"/>
    <w:rsid w:val="00180D93"/>
    <w:rsid w:val="001810B5"/>
    <w:rsid w:val="00181739"/>
    <w:rsid w:val="00182880"/>
    <w:rsid w:val="0018289E"/>
    <w:rsid w:val="00182D62"/>
    <w:rsid w:val="00185492"/>
    <w:rsid w:val="0018710F"/>
    <w:rsid w:val="00190157"/>
    <w:rsid w:val="001901D6"/>
    <w:rsid w:val="0019080E"/>
    <w:rsid w:val="001918C6"/>
    <w:rsid w:val="001926A7"/>
    <w:rsid w:val="00192775"/>
    <w:rsid w:val="00193596"/>
    <w:rsid w:val="001942FA"/>
    <w:rsid w:val="001947CB"/>
    <w:rsid w:val="001950B3"/>
    <w:rsid w:val="00195341"/>
    <w:rsid w:val="001969DE"/>
    <w:rsid w:val="00196AEA"/>
    <w:rsid w:val="00196B36"/>
    <w:rsid w:val="00196BD1"/>
    <w:rsid w:val="00196D28"/>
    <w:rsid w:val="0019726E"/>
    <w:rsid w:val="00197686"/>
    <w:rsid w:val="00197780"/>
    <w:rsid w:val="00197875"/>
    <w:rsid w:val="00197B3E"/>
    <w:rsid w:val="001A02A2"/>
    <w:rsid w:val="001A05C7"/>
    <w:rsid w:val="001A1DF6"/>
    <w:rsid w:val="001A1F94"/>
    <w:rsid w:val="001A2035"/>
    <w:rsid w:val="001A309C"/>
    <w:rsid w:val="001A357E"/>
    <w:rsid w:val="001A3C5D"/>
    <w:rsid w:val="001A3DEF"/>
    <w:rsid w:val="001A4DAA"/>
    <w:rsid w:val="001A58AC"/>
    <w:rsid w:val="001A6002"/>
    <w:rsid w:val="001A6865"/>
    <w:rsid w:val="001A7A68"/>
    <w:rsid w:val="001A7AFB"/>
    <w:rsid w:val="001B0785"/>
    <w:rsid w:val="001B0D90"/>
    <w:rsid w:val="001B1585"/>
    <w:rsid w:val="001B1C46"/>
    <w:rsid w:val="001B2F75"/>
    <w:rsid w:val="001B532E"/>
    <w:rsid w:val="001B5F52"/>
    <w:rsid w:val="001B6483"/>
    <w:rsid w:val="001B6560"/>
    <w:rsid w:val="001B6670"/>
    <w:rsid w:val="001B66B2"/>
    <w:rsid w:val="001B6B14"/>
    <w:rsid w:val="001B6D0A"/>
    <w:rsid w:val="001C0930"/>
    <w:rsid w:val="001C13BA"/>
    <w:rsid w:val="001C15F4"/>
    <w:rsid w:val="001C2841"/>
    <w:rsid w:val="001C2982"/>
    <w:rsid w:val="001C2F41"/>
    <w:rsid w:val="001C356B"/>
    <w:rsid w:val="001C3EDC"/>
    <w:rsid w:val="001C4CE6"/>
    <w:rsid w:val="001C51A0"/>
    <w:rsid w:val="001C5B18"/>
    <w:rsid w:val="001C68D2"/>
    <w:rsid w:val="001C6E1F"/>
    <w:rsid w:val="001C6E85"/>
    <w:rsid w:val="001C7AA0"/>
    <w:rsid w:val="001C7CCA"/>
    <w:rsid w:val="001C7E54"/>
    <w:rsid w:val="001D0E65"/>
    <w:rsid w:val="001D125D"/>
    <w:rsid w:val="001D1852"/>
    <w:rsid w:val="001D27F7"/>
    <w:rsid w:val="001D2DC2"/>
    <w:rsid w:val="001D2F0F"/>
    <w:rsid w:val="001D40C9"/>
    <w:rsid w:val="001D56EA"/>
    <w:rsid w:val="001D6180"/>
    <w:rsid w:val="001D66F5"/>
    <w:rsid w:val="001D6775"/>
    <w:rsid w:val="001D6D6C"/>
    <w:rsid w:val="001D6EFF"/>
    <w:rsid w:val="001E0A0A"/>
    <w:rsid w:val="001E1C52"/>
    <w:rsid w:val="001E28CE"/>
    <w:rsid w:val="001E2B0B"/>
    <w:rsid w:val="001E3186"/>
    <w:rsid w:val="001E4599"/>
    <w:rsid w:val="001E7101"/>
    <w:rsid w:val="001E74ED"/>
    <w:rsid w:val="001E76D4"/>
    <w:rsid w:val="001F159B"/>
    <w:rsid w:val="001F1A89"/>
    <w:rsid w:val="001F1A8F"/>
    <w:rsid w:val="001F1AFF"/>
    <w:rsid w:val="001F1CF5"/>
    <w:rsid w:val="001F30CB"/>
    <w:rsid w:val="001F365D"/>
    <w:rsid w:val="001F3768"/>
    <w:rsid w:val="001F4171"/>
    <w:rsid w:val="001F4839"/>
    <w:rsid w:val="001F4DF7"/>
    <w:rsid w:val="001F69B1"/>
    <w:rsid w:val="001F7300"/>
    <w:rsid w:val="001F7BEB"/>
    <w:rsid w:val="001F7DFB"/>
    <w:rsid w:val="001F7E98"/>
    <w:rsid w:val="0020063F"/>
    <w:rsid w:val="00200B8F"/>
    <w:rsid w:val="00200C6C"/>
    <w:rsid w:val="00200C91"/>
    <w:rsid w:val="00201040"/>
    <w:rsid w:val="0020137C"/>
    <w:rsid w:val="00201B01"/>
    <w:rsid w:val="00203460"/>
    <w:rsid w:val="00203C42"/>
    <w:rsid w:val="0020426E"/>
    <w:rsid w:val="002067C9"/>
    <w:rsid w:val="0020693A"/>
    <w:rsid w:val="00207FCB"/>
    <w:rsid w:val="00210B1B"/>
    <w:rsid w:val="002110E3"/>
    <w:rsid w:val="00211CBC"/>
    <w:rsid w:val="002120D0"/>
    <w:rsid w:val="00213AAF"/>
    <w:rsid w:val="00214284"/>
    <w:rsid w:val="00214F66"/>
    <w:rsid w:val="00215A4D"/>
    <w:rsid w:val="002161CB"/>
    <w:rsid w:val="00216989"/>
    <w:rsid w:val="00217414"/>
    <w:rsid w:val="00217A2F"/>
    <w:rsid w:val="00220AEE"/>
    <w:rsid w:val="00220D58"/>
    <w:rsid w:val="00220FD2"/>
    <w:rsid w:val="00220FDA"/>
    <w:rsid w:val="002214D9"/>
    <w:rsid w:val="002227F0"/>
    <w:rsid w:val="00223276"/>
    <w:rsid w:val="0022351D"/>
    <w:rsid w:val="00223BE1"/>
    <w:rsid w:val="00223E93"/>
    <w:rsid w:val="00224483"/>
    <w:rsid w:val="002251D7"/>
    <w:rsid w:val="0022526C"/>
    <w:rsid w:val="002269A0"/>
    <w:rsid w:val="00226C6C"/>
    <w:rsid w:val="002277C5"/>
    <w:rsid w:val="00227842"/>
    <w:rsid w:val="00227D1E"/>
    <w:rsid w:val="00230EC1"/>
    <w:rsid w:val="0023126F"/>
    <w:rsid w:val="00232E6A"/>
    <w:rsid w:val="00233471"/>
    <w:rsid w:val="00233BB2"/>
    <w:rsid w:val="00233DC2"/>
    <w:rsid w:val="0023428D"/>
    <w:rsid w:val="00234503"/>
    <w:rsid w:val="00234A98"/>
    <w:rsid w:val="00235128"/>
    <w:rsid w:val="00235CD1"/>
    <w:rsid w:val="002372FF"/>
    <w:rsid w:val="002378A3"/>
    <w:rsid w:val="00240160"/>
    <w:rsid w:val="002413FD"/>
    <w:rsid w:val="002425D3"/>
    <w:rsid w:val="00242749"/>
    <w:rsid w:val="00242F8A"/>
    <w:rsid w:val="00243677"/>
    <w:rsid w:val="00243938"/>
    <w:rsid w:val="00243EA0"/>
    <w:rsid w:val="002440E8"/>
    <w:rsid w:val="00244B61"/>
    <w:rsid w:val="00244C6A"/>
    <w:rsid w:val="00245BB3"/>
    <w:rsid w:val="00245EB2"/>
    <w:rsid w:val="00245F98"/>
    <w:rsid w:val="00247487"/>
    <w:rsid w:val="0024762C"/>
    <w:rsid w:val="0025087B"/>
    <w:rsid w:val="002509FF"/>
    <w:rsid w:val="00251C8E"/>
    <w:rsid w:val="00253FEE"/>
    <w:rsid w:val="0025435B"/>
    <w:rsid w:val="0025469A"/>
    <w:rsid w:val="00254B45"/>
    <w:rsid w:val="0025544A"/>
    <w:rsid w:val="00255647"/>
    <w:rsid w:val="00255B96"/>
    <w:rsid w:val="00255CEB"/>
    <w:rsid w:val="00255D59"/>
    <w:rsid w:val="00255E27"/>
    <w:rsid w:val="00256EF2"/>
    <w:rsid w:val="00260883"/>
    <w:rsid w:val="00260C93"/>
    <w:rsid w:val="0026141D"/>
    <w:rsid w:val="00262E80"/>
    <w:rsid w:val="00262FF9"/>
    <w:rsid w:val="002633A6"/>
    <w:rsid w:val="0026372A"/>
    <w:rsid w:val="00263F1D"/>
    <w:rsid w:val="00264DAA"/>
    <w:rsid w:val="0026621E"/>
    <w:rsid w:val="00266B8E"/>
    <w:rsid w:val="00266EE0"/>
    <w:rsid w:val="002675BA"/>
    <w:rsid w:val="00267F7F"/>
    <w:rsid w:val="00270058"/>
    <w:rsid w:val="00271AE7"/>
    <w:rsid w:val="00271CC2"/>
    <w:rsid w:val="00274ECD"/>
    <w:rsid w:val="002752B9"/>
    <w:rsid w:val="002752F5"/>
    <w:rsid w:val="00275FCC"/>
    <w:rsid w:val="00276813"/>
    <w:rsid w:val="00276BCB"/>
    <w:rsid w:val="002809C1"/>
    <w:rsid w:val="00280D5E"/>
    <w:rsid w:val="00280FDD"/>
    <w:rsid w:val="00281AEA"/>
    <w:rsid w:val="00281E2F"/>
    <w:rsid w:val="00283021"/>
    <w:rsid w:val="00284688"/>
    <w:rsid w:val="0028539B"/>
    <w:rsid w:val="00285516"/>
    <w:rsid w:val="002859B8"/>
    <w:rsid w:val="00285EAE"/>
    <w:rsid w:val="002861B5"/>
    <w:rsid w:val="0028686A"/>
    <w:rsid w:val="00287121"/>
    <w:rsid w:val="0028799A"/>
    <w:rsid w:val="00287ABF"/>
    <w:rsid w:val="002918C8"/>
    <w:rsid w:val="00291E20"/>
    <w:rsid w:val="00292324"/>
    <w:rsid w:val="002932F3"/>
    <w:rsid w:val="00293519"/>
    <w:rsid w:val="0029353E"/>
    <w:rsid w:val="00293CEC"/>
    <w:rsid w:val="0029598A"/>
    <w:rsid w:val="00295E8F"/>
    <w:rsid w:val="00296214"/>
    <w:rsid w:val="00296572"/>
    <w:rsid w:val="002966B6"/>
    <w:rsid w:val="00296B21"/>
    <w:rsid w:val="002A01C6"/>
    <w:rsid w:val="002A0CC4"/>
    <w:rsid w:val="002A0EEE"/>
    <w:rsid w:val="002A1A67"/>
    <w:rsid w:val="002A2E4B"/>
    <w:rsid w:val="002A43D5"/>
    <w:rsid w:val="002A4BA6"/>
    <w:rsid w:val="002A4EFB"/>
    <w:rsid w:val="002A6411"/>
    <w:rsid w:val="002A6518"/>
    <w:rsid w:val="002A705B"/>
    <w:rsid w:val="002A726F"/>
    <w:rsid w:val="002B0BFB"/>
    <w:rsid w:val="002B1012"/>
    <w:rsid w:val="002B1A55"/>
    <w:rsid w:val="002B1D7B"/>
    <w:rsid w:val="002B241A"/>
    <w:rsid w:val="002B37A7"/>
    <w:rsid w:val="002B53B8"/>
    <w:rsid w:val="002B63B6"/>
    <w:rsid w:val="002B7B44"/>
    <w:rsid w:val="002C15F7"/>
    <w:rsid w:val="002C16FE"/>
    <w:rsid w:val="002C1DBD"/>
    <w:rsid w:val="002C1F63"/>
    <w:rsid w:val="002C244F"/>
    <w:rsid w:val="002C38D4"/>
    <w:rsid w:val="002C3EB9"/>
    <w:rsid w:val="002C421B"/>
    <w:rsid w:val="002C6E61"/>
    <w:rsid w:val="002C77D6"/>
    <w:rsid w:val="002C79FF"/>
    <w:rsid w:val="002C7E3A"/>
    <w:rsid w:val="002C7E44"/>
    <w:rsid w:val="002D0109"/>
    <w:rsid w:val="002D04FB"/>
    <w:rsid w:val="002D2671"/>
    <w:rsid w:val="002D42C2"/>
    <w:rsid w:val="002D53E7"/>
    <w:rsid w:val="002D567F"/>
    <w:rsid w:val="002D5A0B"/>
    <w:rsid w:val="002D6225"/>
    <w:rsid w:val="002D6E6B"/>
    <w:rsid w:val="002D7272"/>
    <w:rsid w:val="002D732A"/>
    <w:rsid w:val="002D7C2D"/>
    <w:rsid w:val="002E00BA"/>
    <w:rsid w:val="002E0283"/>
    <w:rsid w:val="002E3335"/>
    <w:rsid w:val="002E37CE"/>
    <w:rsid w:val="002E446B"/>
    <w:rsid w:val="002E5D60"/>
    <w:rsid w:val="002E6820"/>
    <w:rsid w:val="002E6FC1"/>
    <w:rsid w:val="002E75D1"/>
    <w:rsid w:val="002E7ABA"/>
    <w:rsid w:val="002F0067"/>
    <w:rsid w:val="002F01D4"/>
    <w:rsid w:val="002F0DF5"/>
    <w:rsid w:val="002F116B"/>
    <w:rsid w:val="002F11F5"/>
    <w:rsid w:val="002F22F1"/>
    <w:rsid w:val="002F262A"/>
    <w:rsid w:val="002F26B3"/>
    <w:rsid w:val="002F3806"/>
    <w:rsid w:val="002F40F7"/>
    <w:rsid w:val="002F4539"/>
    <w:rsid w:val="002F4A84"/>
    <w:rsid w:val="002F5251"/>
    <w:rsid w:val="002F52B5"/>
    <w:rsid w:val="002F7C3D"/>
    <w:rsid w:val="00300F1E"/>
    <w:rsid w:val="0030249E"/>
    <w:rsid w:val="00302947"/>
    <w:rsid w:val="00302992"/>
    <w:rsid w:val="00303318"/>
    <w:rsid w:val="0030462D"/>
    <w:rsid w:val="003048F2"/>
    <w:rsid w:val="00304CD6"/>
    <w:rsid w:val="00306E1A"/>
    <w:rsid w:val="0030729A"/>
    <w:rsid w:val="0030747E"/>
    <w:rsid w:val="00307835"/>
    <w:rsid w:val="00311EBB"/>
    <w:rsid w:val="003122F9"/>
    <w:rsid w:val="003146D4"/>
    <w:rsid w:val="0031486A"/>
    <w:rsid w:val="0031507A"/>
    <w:rsid w:val="003156E1"/>
    <w:rsid w:val="00316CE1"/>
    <w:rsid w:val="00317014"/>
    <w:rsid w:val="00317444"/>
    <w:rsid w:val="0031769D"/>
    <w:rsid w:val="00317B11"/>
    <w:rsid w:val="00317D8D"/>
    <w:rsid w:val="00317EB4"/>
    <w:rsid w:val="0032019A"/>
    <w:rsid w:val="0032143E"/>
    <w:rsid w:val="003216E8"/>
    <w:rsid w:val="00321CCA"/>
    <w:rsid w:val="0032208E"/>
    <w:rsid w:val="00322501"/>
    <w:rsid w:val="00323B7B"/>
    <w:rsid w:val="00324D77"/>
    <w:rsid w:val="00324E05"/>
    <w:rsid w:val="003261DF"/>
    <w:rsid w:val="003262AE"/>
    <w:rsid w:val="0032727A"/>
    <w:rsid w:val="003308BC"/>
    <w:rsid w:val="00330949"/>
    <w:rsid w:val="00330FEF"/>
    <w:rsid w:val="0033258B"/>
    <w:rsid w:val="003329B4"/>
    <w:rsid w:val="00333146"/>
    <w:rsid w:val="0033360F"/>
    <w:rsid w:val="003338A7"/>
    <w:rsid w:val="00333ACB"/>
    <w:rsid w:val="00333F3D"/>
    <w:rsid w:val="0033436B"/>
    <w:rsid w:val="0033479B"/>
    <w:rsid w:val="00335189"/>
    <w:rsid w:val="00335FB5"/>
    <w:rsid w:val="003371D7"/>
    <w:rsid w:val="00337293"/>
    <w:rsid w:val="003402A8"/>
    <w:rsid w:val="00341D1B"/>
    <w:rsid w:val="00341F41"/>
    <w:rsid w:val="00343993"/>
    <w:rsid w:val="00343D9D"/>
    <w:rsid w:val="0034453B"/>
    <w:rsid w:val="003448EF"/>
    <w:rsid w:val="00344A7C"/>
    <w:rsid w:val="00344FCD"/>
    <w:rsid w:val="0034669D"/>
    <w:rsid w:val="00346E25"/>
    <w:rsid w:val="003471C1"/>
    <w:rsid w:val="00351413"/>
    <w:rsid w:val="0035176E"/>
    <w:rsid w:val="0035302C"/>
    <w:rsid w:val="0035354F"/>
    <w:rsid w:val="0035356C"/>
    <w:rsid w:val="0035394F"/>
    <w:rsid w:val="00355632"/>
    <w:rsid w:val="003564D7"/>
    <w:rsid w:val="003573EA"/>
    <w:rsid w:val="00357795"/>
    <w:rsid w:val="00357F8A"/>
    <w:rsid w:val="00360EEA"/>
    <w:rsid w:val="003618E1"/>
    <w:rsid w:val="00363350"/>
    <w:rsid w:val="00366302"/>
    <w:rsid w:val="003667B1"/>
    <w:rsid w:val="00366E1E"/>
    <w:rsid w:val="00366F08"/>
    <w:rsid w:val="0036722E"/>
    <w:rsid w:val="003672F5"/>
    <w:rsid w:val="003675E0"/>
    <w:rsid w:val="00370AA2"/>
    <w:rsid w:val="00370E2C"/>
    <w:rsid w:val="003714A0"/>
    <w:rsid w:val="003715C0"/>
    <w:rsid w:val="003716A6"/>
    <w:rsid w:val="00372762"/>
    <w:rsid w:val="00373318"/>
    <w:rsid w:val="00374DF4"/>
    <w:rsid w:val="00375528"/>
    <w:rsid w:val="0037556C"/>
    <w:rsid w:val="00375975"/>
    <w:rsid w:val="00375CE3"/>
    <w:rsid w:val="00376364"/>
    <w:rsid w:val="003763B5"/>
    <w:rsid w:val="003768D4"/>
    <w:rsid w:val="00377844"/>
    <w:rsid w:val="003805C7"/>
    <w:rsid w:val="00381073"/>
    <w:rsid w:val="0038198B"/>
    <w:rsid w:val="00381D79"/>
    <w:rsid w:val="0038214E"/>
    <w:rsid w:val="003821C1"/>
    <w:rsid w:val="00385BC6"/>
    <w:rsid w:val="00386E12"/>
    <w:rsid w:val="00387A2A"/>
    <w:rsid w:val="00390633"/>
    <w:rsid w:val="00390A55"/>
    <w:rsid w:val="00390E7A"/>
    <w:rsid w:val="0039135B"/>
    <w:rsid w:val="00391752"/>
    <w:rsid w:val="003925F5"/>
    <w:rsid w:val="00392C1A"/>
    <w:rsid w:val="00393189"/>
    <w:rsid w:val="0039327F"/>
    <w:rsid w:val="0039390D"/>
    <w:rsid w:val="003942EC"/>
    <w:rsid w:val="00394D6A"/>
    <w:rsid w:val="00395B03"/>
    <w:rsid w:val="003960C0"/>
    <w:rsid w:val="0039694C"/>
    <w:rsid w:val="00396A25"/>
    <w:rsid w:val="003978F3"/>
    <w:rsid w:val="003A09E1"/>
    <w:rsid w:val="003A0BFB"/>
    <w:rsid w:val="003A380C"/>
    <w:rsid w:val="003A3C54"/>
    <w:rsid w:val="003A5761"/>
    <w:rsid w:val="003A6174"/>
    <w:rsid w:val="003A6969"/>
    <w:rsid w:val="003A6C08"/>
    <w:rsid w:val="003A74CE"/>
    <w:rsid w:val="003B0844"/>
    <w:rsid w:val="003B09BB"/>
    <w:rsid w:val="003B1157"/>
    <w:rsid w:val="003B3948"/>
    <w:rsid w:val="003B43D4"/>
    <w:rsid w:val="003B487E"/>
    <w:rsid w:val="003B5606"/>
    <w:rsid w:val="003B5C17"/>
    <w:rsid w:val="003B60BB"/>
    <w:rsid w:val="003B68E5"/>
    <w:rsid w:val="003B7C06"/>
    <w:rsid w:val="003C147E"/>
    <w:rsid w:val="003C1963"/>
    <w:rsid w:val="003C233A"/>
    <w:rsid w:val="003C2DE9"/>
    <w:rsid w:val="003C387D"/>
    <w:rsid w:val="003C3DC4"/>
    <w:rsid w:val="003C549E"/>
    <w:rsid w:val="003C55A8"/>
    <w:rsid w:val="003C5F5D"/>
    <w:rsid w:val="003C6C7F"/>
    <w:rsid w:val="003C6D18"/>
    <w:rsid w:val="003C7FC1"/>
    <w:rsid w:val="003D0009"/>
    <w:rsid w:val="003D0088"/>
    <w:rsid w:val="003D011A"/>
    <w:rsid w:val="003D08E4"/>
    <w:rsid w:val="003D0961"/>
    <w:rsid w:val="003D0CE4"/>
    <w:rsid w:val="003D0F46"/>
    <w:rsid w:val="003D10B5"/>
    <w:rsid w:val="003D116A"/>
    <w:rsid w:val="003D20A0"/>
    <w:rsid w:val="003D2C1E"/>
    <w:rsid w:val="003D2D54"/>
    <w:rsid w:val="003D3972"/>
    <w:rsid w:val="003D3C52"/>
    <w:rsid w:val="003D44CB"/>
    <w:rsid w:val="003D504C"/>
    <w:rsid w:val="003D6E7C"/>
    <w:rsid w:val="003D71C0"/>
    <w:rsid w:val="003D71FC"/>
    <w:rsid w:val="003D7AB3"/>
    <w:rsid w:val="003E009F"/>
    <w:rsid w:val="003E1814"/>
    <w:rsid w:val="003E196F"/>
    <w:rsid w:val="003E22A1"/>
    <w:rsid w:val="003E32ED"/>
    <w:rsid w:val="003E4827"/>
    <w:rsid w:val="003E5E6C"/>
    <w:rsid w:val="003E6EF4"/>
    <w:rsid w:val="003E7110"/>
    <w:rsid w:val="003E7249"/>
    <w:rsid w:val="003E768A"/>
    <w:rsid w:val="003E7998"/>
    <w:rsid w:val="003E7B58"/>
    <w:rsid w:val="003F04EA"/>
    <w:rsid w:val="003F0821"/>
    <w:rsid w:val="003F111E"/>
    <w:rsid w:val="003F15DA"/>
    <w:rsid w:val="003F1A27"/>
    <w:rsid w:val="003F1EDD"/>
    <w:rsid w:val="003F2166"/>
    <w:rsid w:val="003F2593"/>
    <w:rsid w:val="003F3309"/>
    <w:rsid w:val="003F3854"/>
    <w:rsid w:val="003F3C1A"/>
    <w:rsid w:val="003F43F9"/>
    <w:rsid w:val="003F4729"/>
    <w:rsid w:val="003F508B"/>
    <w:rsid w:val="003F5F99"/>
    <w:rsid w:val="003F6E8A"/>
    <w:rsid w:val="00400076"/>
    <w:rsid w:val="00400082"/>
    <w:rsid w:val="00401C97"/>
    <w:rsid w:val="0040265C"/>
    <w:rsid w:val="00402988"/>
    <w:rsid w:val="00402C70"/>
    <w:rsid w:val="00403995"/>
    <w:rsid w:val="00403D70"/>
    <w:rsid w:val="00404610"/>
    <w:rsid w:val="00404939"/>
    <w:rsid w:val="004059D1"/>
    <w:rsid w:val="00406F33"/>
    <w:rsid w:val="00407624"/>
    <w:rsid w:val="0041057C"/>
    <w:rsid w:val="00410A27"/>
    <w:rsid w:val="004146B8"/>
    <w:rsid w:val="004148CD"/>
    <w:rsid w:val="00415B85"/>
    <w:rsid w:val="00416B6C"/>
    <w:rsid w:val="00416D76"/>
    <w:rsid w:val="00416E2A"/>
    <w:rsid w:val="004170E6"/>
    <w:rsid w:val="004172D1"/>
    <w:rsid w:val="00417673"/>
    <w:rsid w:val="00417E9E"/>
    <w:rsid w:val="004200D0"/>
    <w:rsid w:val="00420577"/>
    <w:rsid w:val="00420B6C"/>
    <w:rsid w:val="00421108"/>
    <w:rsid w:val="00421167"/>
    <w:rsid w:val="004236B2"/>
    <w:rsid w:val="00423B11"/>
    <w:rsid w:val="0042571E"/>
    <w:rsid w:val="00426F93"/>
    <w:rsid w:val="00427C29"/>
    <w:rsid w:val="00430345"/>
    <w:rsid w:val="00431262"/>
    <w:rsid w:val="004316CA"/>
    <w:rsid w:val="004323AC"/>
    <w:rsid w:val="00432BCC"/>
    <w:rsid w:val="00433771"/>
    <w:rsid w:val="004338F5"/>
    <w:rsid w:val="00434453"/>
    <w:rsid w:val="00434C4E"/>
    <w:rsid w:val="00437B77"/>
    <w:rsid w:val="00437C4A"/>
    <w:rsid w:val="00437D4E"/>
    <w:rsid w:val="00437ECB"/>
    <w:rsid w:val="0044039A"/>
    <w:rsid w:val="004411E0"/>
    <w:rsid w:val="004448A4"/>
    <w:rsid w:val="00444926"/>
    <w:rsid w:val="00444F25"/>
    <w:rsid w:val="00445C9F"/>
    <w:rsid w:val="00447598"/>
    <w:rsid w:val="00447684"/>
    <w:rsid w:val="00447A95"/>
    <w:rsid w:val="004507D6"/>
    <w:rsid w:val="004519CE"/>
    <w:rsid w:val="00451A15"/>
    <w:rsid w:val="00451B18"/>
    <w:rsid w:val="00452829"/>
    <w:rsid w:val="00454B0E"/>
    <w:rsid w:val="00454E0B"/>
    <w:rsid w:val="00454F28"/>
    <w:rsid w:val="00456562"/>
    <w:rsid w:val="00457C4D"/>
    <w:rsid w:val="00457D9E"/>
    <w:rsid w:val="0046069B"/>
    <w:rsid w:val="00461529"/>
    <w:rsid w:val="00461632"/>
    <w:rsid w:val="00462DA9"/>
    <w:rsid w:val="004649E1"/>
    <w:rsid w:val="00464A4F"/>
    <w:rsid w:val="0046579A"/>
    <w:rsid w:val="0046621D"/>
    <w:rsid w:val="004665FE"/>
    <w:rsid w:val="00466D61"/>
    <w:rsid w:val="00466E9D"/>
    <w:rsid w:val="004671FE"/>
    <w:rsid w:val="00467242"/>
    <w:rsid w:val="0046743C"/>
    <w:rsid w:val="0046746A"/>
    <w:rsid w:val="00467E71"/>
    <w:rsid w:val="00470476"/>
    <w:rsid w:val="00471C7F"/>
    <w:rsid w:val="00471E9B"/>
    <w:rsid w:val="00472A85"/>
    <w:rsid w:val="00472DCE"/>
    <w:rsid w:val="00473087"/>
    <w:rsid w:val="00474145"/>
    <w:rsid w:val="00474319"/>
    <w:rsid w:val="0047476B"/>
    <w:rsid w:val="004752D4"/>
    <w:rsid w:val="00477F30"/>
    <w:rsid w:val="004802B7"/>
    <w:rsid w:val="004806B1"/>
    <w:rsid w:val="004812AB"/>
    <w:rsid w:val="004819D8"/>
    <w:rsid w:val="00483619"/>
    <w:rsid w:val="00483751"/>
    <w:rsid w:val="00483AB4"/>
    <w:rsid w:val="00484232"/>
    <w:rsid w:val="00484463"/>
    <w:rsid w:val="0048457F"/>
    <w:rsid w:val="00484AC8"/>
    <w:rsid w:val="00484CF0"/>
    <w:rsid w:val="004852CE"/>
    <w:rsid w:val="0048532F"/>
    <w:rsid w:val="00485552"/>
    <w:rsid w:val="00485A1A"/>
    <w:rsid w:val="00485F5F"/>
    <w:rsid w:val="0048660D"/>
    <w:rsid w:val="00486CA3"/>
    <w:rsid w:val="0048755A"/>
    <w:rsid w:val="004913ED"/>
    <w:rsid w:val="00491A7D"/>
    <w:rsid w:val="004921E5"/>
    <w:rsid w:val="00492435"/>
    <w:rsid w:val="00492E5D"/>
    <w:rsid w:val="0049334B"/>
    <w:rsid w:val="00493388"/>
    <w:rsid w:val="0049584F"/>
    <w:rsid w:val="00496BFE"/>
    <w:rsid w:val="00497A62"/>
    <w:rsid w:val="004A0E71"/>
    <w:rsid w:val="004A13A2"/>
    <w:rsid w:val="004A1B0F"/>
    <w:rsid w:val="004A223A"/>
    <w:rsid w:val="004A2E78"/>
    <w:rsid w:val="004A5391"/>
    <w:rsid w:val="004A5F32"/>
    <w:rsid w:val="004B0E3E"/>
    <w:rsid w:val="004B0EF4"/>
    <w:rsid w:val="004B26B6"/>
    <w:rsid w:val="004B2745"/>
    <w:rsid w:val="004B29D4"/>
    <w:rsid w:val="004B4893"/>
    <w:rsid w:val="004B497F"/>
    <w:rsid w:val="004B565F"/>
    <w:rsid w:val="004B5B00"/>
    <w:rsid w:val="004B6007"/>
    <w:rsid w:val="004B65B6"/>
    <w:rsid w:val="004B6CE1"/>
    <w:rsid w:val="004B7115"/>
    <w:rsid w:val="004B7E57"/>
    <w:rsid w:val="004C0516"/>
    <w:rsid w:val="004C11EE"/>
    <w:rsid w:val="004C1433"/>
    <w:rsid w:val="004C1DFA"/>
    <w:rsid w:val="004C1E5E"/>
    <w:rsid w:val="004C2064"/>
    <w:rsid w:val="004C2482"/>
    <w:rsid w:val="004C248E"/>
    <w:rsid w:val="004C4E25"/>
    <w:rsid w:val="004C4E67"/>
    <w:rsid w:val="004C54DC"/>
    <w:rsid w:val="004C5E2C"/>
    <w:rsid w:val="004C71FA"/>
    <w:rsid w:val="004C730A"/>
    <w:rsid w:val="004C738E"/>
    <w:rsid w:val="004C75F8"/>
    <w:rsid w:val="004C7BD0"/>
    <w:rsid w:val="004D2137"/>
    <w:rsid w:val="004D32E2"/>
    <w:rsid w:val="004D3DF0"/>
    <w:rsid w:val="004D4C2D"/>
    <w:rsid w:val="004D5A0E"/>
    <w:rsid w:val="004D61C3"/>
    <w:rsid w:val="004D7029"/>
    <w:rsid w:val="004D7453"/>
    <w:rsid w:val="004D7565"/>
    <w:rsid w:val="004D75D0"/>
    <w:rsid w:val="004D767D"/>
    <w:rsid w:val="004E0A7C"/>
    <w:rsid w:val="004E11AA"/>
    <w:rsid w:val="004E202C"/>
    <w:rsid w:val="004E2098"/>
    <w:rsid w:val="004E3138"/>
    <w:rsid w:val="004E3E76"/>
    <w:rsid w:val="004E4161"/>
    <w:rsid w:val="004E4C09"/>
    <w:rsid w:val="004E50EB"/>
    <w:rsid w:val="004E5171"/>
    <w:rsid w:val="004E5265"/>
    <w:rsid w:val="004E5301"/>
    <w:rsid w:val="004E6081"/>
    <w:rsid w:val="004F0375"/>
    <w:rsid w:val="004F0791"/>
    <w:rsid w:val="004F0C22"/>
    <w:rsid w:val="004F0D02"/>
    <w:rsid w:val="004F2683"/>
    <w:rsid w:val="004F4027"/>
    <w:rsid w:val="004F6006"/>
    <w:rsid w:val="004F67AE"/>
    <w:rsid w:val="004F7949"/>
    <w:rsid w:val="004F7A9F"/>
    <w:rsid w:val="005006A3"/>
    <w:rsid w:val="005010B5"/>
    <w:rsid w:val="00501242"/>
    <w:rsid w:val="00502264"/>
    <w:rsid w:val="00502C9B"/>
    <w:rsid w:val="005037B6"/>
    <w:rsid w:val="005038C6"/>
    <w:rsid w:val="00506887"/>
    <w:rsid w:val="005068B9"/>
    <w:rsid w:val="00506EDF"/>
    <w:rsid w:val="005110C5"/>
    <w:rsid w:val="005122D3"/>
    <w:rsid w:val="005124C4"/>
    <w:rsid w:val="00512EDA"/>
    <w:rsid w:val="0051359D"/>
    <w:rsid w:val="00513FD7"/>
    <w:rsid w:val="005149B7"/>
    <w:rsid w:val="00515612"/>
    <w:rsid w:val="00515CDB"/>
    <w:rsid w:val="0051606B"/>
    <w:rsid w:val="005172FE"/>
    <w:rsid w:val="00517AD8"/>
    <w:rsid w:val="00517B39"/>
    <w:rsid w:val="00517DE6"/>
    <w:rsid w:val="005203FC"/>
    <w:rsid w:val="0052090B"/>
    <w:rsid w:val="005245D6"/>
    <w:rsid w:val="0052567F"/>
    <w:rsid w:val="00525DE5"/>
    <w:rsid w:val="0052636E"/>
    <w:rsid w:val="005275E6"/>
    <w:rsid w:val="00527B91"/>
    <w:rsid w:val="00530296"/>
    <w:rsid w:val="00531262"/>
    <w:rsid w:val="0053128E"/>
    <w:rsid w:val="00531EB1"/>
    <w:rsid w:val="005324AF"/>
    <w:rsid w:val="00532EF1"/>
    <w:rsid w:val="00534358"/>
    <w:rsid w:val="005349E3"/>
    <w:rsid w:val="005350A5"/>
    <w:rsid w:val="00535673"/>
    <w:rsid w:val="00535CF2"/>
    <w:rsid w:val="00535E7A"/>
    <w:rsid w:val="0053633D"/>
    <w:rsid w:val="005409E6"/>
    <w:rsid w:val="0054152F"/>
    <w:rsid w:val="005415A7"/>
    <w:rsid w:val="0054200F"/>
    <w:rsid w:val="0054290E"/>
    <w:rsid w:val="00543D37"/>
    <w:rsid w:val="00544158"/>
    <w:rsid w:val="00544476"/>
    <w:rsid w:val="00544D24"/>
    <w:rsid w:val="00545D8A"/>
    <w:rsid w:val="0054729D"/>
    <w:rsid w:val="0054733C"/>
    <w:rsid w:val="00547693"/>
    <w:rsid w:val="005506FF"/>
    <w:rsid w:val="00552075"/>
    <w:rsid w:val="00552E10"/>
    <w:rsid w:val="00552ED5"/>
    <w:rsid w:val="00553B40"/>
    <w:rsid w:val="00553BBA"/>
    <w:rsid w:val="00554536"/>
    <w:rsid w:val="00555093"/>
    <w:rsid w:val="00555297"/>
    <w:rsid w:val="00555A64"/>
    <w:rsid w:val="00555B1F"/>
    <w:rsid w:val="005576DD"/>
    <w:rsid w:val="005602A5"/>
    <w:rsid w:val="00560676"/>
    <w:rsid w:val="00560872"/>
    <w:rsid w:val="00560DE9"/>
    <w:rsid w:val="0056128C"/>
    <w:rsid w:val="00562121"/>
    <w:rsid w:val="0056237A"/>
    <w:rsid w:val="00563948"/>
    <w:rsid w:val="00563FDB"/>
    <w:rsid w:val="0056458C"/>
    <w:rsid w:val="0056505D"/>
    <w:rsid w:val="005653CB"/>
    <w:rsid w:val="005657E2"/>
    <w:rsid w:val="00566A96"/>
    <w:rsid w:val="00567052"/>
    <w:rsid w:val="00567306"/>
    <w:rsid w:val="0056776D"/>
    <w:rsid w:val="00571140"/>
    <w:rsid w:val="0057119D"/>
    <w:rsid w:val="0057122A"/>
    <w:rsid w:val="005726D6"/>
    <w:rsid w:val="005727C8"/>
    <w:rsid w:val="00572BBF"/>
    <w:rsid w:val="0057327C"/>
    <w:rsid w:val="00574089"/>
    <w:rsid w:val="005742FA"/>
    <w:rsid w:val="0057486C"/>
    <w:rsid w:val="00575881"/>
    <w:rsid w:val="00576260"/>
    <w:rsid w:val="00576649"/>
    <w:rsid w:val="00576768"/>
    <w:rsid w:val="00576C2B"/>
    <w:rsid w:val="00576D7E"/>
    <w:rsid w:val="00577234"/>
    <w:rsid w:val="0057768D"/>
    <w:rsid w:val="00580141"/>
    <w:rsid w:val="00581DC2"/>
    <w:rsid w:val="00581FE5"/>
    <w:rsid w:val="005828A1"/>
    <w:rsid w:val="00582F1F"/>
    <w:rsid w:val="005830DD"/>
    <w:rsid w:val="00583A0B"/>
    <w:rsid w:val="00584279"/>
    <w:rsid w:val="00584E83"/>
    <w:rsid w:val="0058555C"/>
    <w:rsid w:val="005856E9"/>
    <w:rsid w:val="00585721"/>
    <w:rsid w:val="00585C65"/>
    <w:rsid w:val="005863CF"/>
    <w:rsid w:val="005875C1"/>
    <w:rsid w:val="00587E74"/>
    <w:rsid w:val="00587E85"/>
    <w:rsid w:val="005908D7"/>
    <w:rsid w:val="00590B35"/>
    <w:rsid w:val="0059101F"/>
    <w:rsid w:val="0059305A"/>
    <w:rsid w:val="005933E1"/>
    <w:rsid w:val="00593879"/>
    <w:rsid w:val="00593B79"/>
    <w:rsid w:val="00594093"/>
    <w:rsid w:val="00594739"/>
    <w:rsid w:val="0059544E"/>
    <w:rsid w:val="00595FBF"/>
    <w:rsid w:val="00596485"/>
    <w:rsid w:val="005979AC"/>
    <w:rsid w:val="005A043B"/>
    <w:rsid w:val="005A0CB7"/>
    <w:rsid w:val="005A0EB6"/>
    <w:rsid w:val="005A16AE"/>
    <w:rsid w:val="005A1C4F"/>
    <w:rsid w:val="005A2130"/>
    <w:rsid w:val="005A236D"/>
    <w:rsid w:val="005A2FCF"/>
    <w:rsid w:val="005A403C"/>
    <w:rsid w:val="005A4658"/>
    <w:rsid w:val="005A5223"/>
    <w:rsid w:val="005A60D1"/>
    <w:rsid w:val="005A6717"/>
    <w:rsid w:val="005A6723"/>
    <w:rsid w:val="005A7DFB"/>
    <w:rsid w:val="005B0CF5"/>
    <w:rsid w:val="005B1B41"/>
    <w:rsid w:val="005B2665"/>
    <w:rsid w:val="005B30B3"/>
    <w:rsid w:val="005B315F"/>
    <w:rsid w:val="005B340C"/>
    <w:rsid w:val="005B376D"/>
    <w:rsid w:val="005B3854"/>
    <w:rsid w:val="005B387B"/>
    <w:rsid w:val="005B5735"/>
    <w:rsid w:val="005B59EB"/>
    <w:rsid w:val="005B63F2"/>
    <w:rsid w:val="005B6DE8"/>
    <w:rsid w:val="005B6F8B"/>
    <w:rsid w:val="005B70BC"/>
    <w:rsid w:val="005B75DF"/>
    <w:rsid w:val="005C0071"/>
    <w:rsid w:val="005C008C"/>
    <w:rsid w:val="005C06DA"/>
    <w:rsid w:val="005C0A5C"/>
    <w:rsid w:val="005C31DE"/>
    <w:rsid w:val="005C356D"/>
    <w:rsid w:val="005C367E"/>
    <w:rsid w:val="005C3D08"/>
    <w:rsid w:val="005C528E"/>
    <w:rsid w:val="005C5319"/>
    <w:rsid w:val="005C5F9D"/>
    <w:rsid w:val="005C720F"/>
    <w:rsid w:val="005D0154"/>
    <w:rsid w:val="005D055A"/>
    <w:rsid w:val="005D1A9D"/>
    <w:rsid w:val="005D3D18"/>
    <w:rsid w:val="005D4A87"/>
    <w:rsid w:val="005D4C88"/>
    <w:rsid w:val="005D5041"/>
    <w:rsid w:val="005D64DD"/>
    <w:rsid w:val="005D6C58"/>
    <w:rsid w:val="005D6D8C"/>
    <w:rsid w:val="005D6EB6"/>
    <w:rsid w:val="005D6F4A"/>
    <w:rsid w:val="005D7381"/>
    <w:rsid w:val="005D7F53"/>
    <w:rsid w:val="005E0073"/>
    <w:rsid w:val="005E03E4"/>
    <w:rsid w:val="005E0663"/>
    <w:rsid w:val="005E083E"/>
    <w:rsid w:val="005E09AE"/>
    <w:rsid w:val="005E10FB"/>
    <w:rsid w:val="005E1925"/>
    <w:rsid w:val="005E2ACA"/>
    <w:rsid w:val="005E2C2F"/>
    <w:rsid w:val="005E331C"/>
    <w:rsid w:val="005E3E4E"/>
    <w:rsid w:val="005E5D59"/>
    <w:rsid w:val="005E64BD"/>
    <w:rsid w:val="005E69ED"/>
    <w:rsid w:val="005E6C95"/>
    <w:rsid w:val="005F0291"/>
    <w:rsid w:val="005F151F"/>
    <w:rsid w:val="005F1709"/>
    <w:rsid w:val="005F1786"/>
    <w:rsid w:val="005F1BB5"/>
    <w:rsid w:val="005F1C8A"/>
    <w:rsid w:val="005F2634"/>
    <w:rsid w:val="005F2F1F"/>
    <w:rsid w:val="005F4208"/>
    <w:rsid w:val="005F4926"/>
    <w:rsid w:val="005F4F28"/>
    <w:rsid w:val="005F5381"/>
    <w:rsid w:val="005F6B4D"/>
    <w:rsid w:val="005F7B3B"/>
    <w:rsid w:val="0060078F"/>
    <w:rsid w:val="00601AA1"/>
    <w:rsid w:val="00601EA4"/>
    <w:rsid w:val="0060202A"/>
    <w:rsid w:val="0060304B"/>
    <w:rsid w:val="0060319F"/>
    <w:rsid w:val="00603D6D"/>
    <w:rsid w:val="0060467B"/>
    <w:rsid w:val="0060708E"/>
    <w:rsid w:val="006100D1"/>
    <w:rsid w:val="00610279"/>
    <w:rsid w:val="00610814"/>
    <w:rsid w:val="00611955"/>
    <w:rsid w:val="00611D19"/>
    <w:rsid w:val="00611D46"/>
    <w:rsid w:val="0061218B"/>
    <w:rsid w:val="006128FF"/>
    <w:rsid w:val="00612914"/>
    <w:rsid w:val="00612A94"/>
    <w:rsid w:val="006133F5"/>
    <w:rsid w:val="00614066"/>
    <w:rsid w:val="00614302"/>
    <w:rsid w:val="00614637"/>
    <w:rsid w:val="00614B03"/>
    <w:rsid w:val="00615A93"/>
    <w:rsid w:val="0061623E"/>
    <w:rsid w:val="006205BA"/>
    <w:rsid w:val="006209AC"/>
    <w:rsid w:val="00620FF4"/>
    <w:rsid w:val="00622418"/>
    <w:rsid w:val="006238FE"/>
    <w:rsid w:val="00623C30"/>
    <w:rsid w:val="006244A2"/>
    <w:rsid w:val="00625512"/>
    <w:rsid w:val="00625A6B"/>
    <w:rsid w:val="006262D3"/>
    <w:rsid w:val="00626477"/>
    <w:rsid w:val="00626E6E"/>
    <w:rsid w:val="006275F2"/>
    <w:rsid w:val="00627C7A"/>
    <w:rsid w:val="00627EB8"/>
    <w:rsid w:val="00630665"/>
    <w:rsid w:val="00630853"/>
    <w:rsid w:val="006327DE"/>
    <w:rsid w:val="00632A96"/>
    <w:rsid w:val="00632C91"/>
    <w:rsid w:val="006335E0"/>
    <w:rsid w:val="006341AA"/>
    <w:rsid w:val="006344DB"/>
    <w:rsid w:val="00635552"/>
    <w:rsid w:val="00635681"/>
    <w:rsid w:val="0063570C"/>
    <w:rsid w:val="00635F83"/>
    <w:rsid w:val="006366BE"/>
    <w:rsid w:val="006410FC"/>
    <w:rsid w:val="006412B1"/>
    <w:rsid w:val="00641404"/>
    <w:rsid w:val="006415E7"/>
    <w:rsid w:val="0064262C"/>
    <w:rsid w:val="00642E33"/>
    <w:rsid w:val="00643D41"/>
    <w:rsid w:val="00645F4B"/>
    <w:rsid w:val="0064617B"/>
    <w:rsid w:val="0064780E"/>
    <w:rsid w:val="006478CE"/>
    <w:rsid w:val="00650A65"/>
    <w:rsid w:val="00650CDA"/>
    <w:rsid w:val="00651116"/>
    <w:rsid w:val="00651F71"/>
    <w:rsid w:val="00653209"/>
    <w:rsid w:val="0065462D"/>
    <w:rsid w:val="00654E09"/>
    <w:rsid w:val="006552F0"/>
    <w:rsid w:val="006553B0"/>
    <w:rsid w:val="0065558C"/>
    <w:rsid w:val="00655CE8"/>
    <w:rsid w:val="00655E24"/>
    <w:rsid w:val="006561F6"/>
    <w:rsid w:val="00656A5C"/>
    <w:rsid w:val="00656F84"/>
    <w:rsid w:val="0065726E"/>
    <w:rsid w:val="006573DB"/>
    <w:rsid w:val="00657548"/>
    <w:rsid w:val="0066086C"/>
    <w:rsid w:val="00661330"/>
    <w:rsid w:val="00662331"/>
    <w:rsid w:val="00663186"/>
    <w:rsid w:val="00663276"/>
    <w:rsid w:val="00664239"/>
    <w:rsid w:val="00664C3E"/>
    <w:rsid w:val="00664DDD"/>
    <w:rsid w:val="0066564D"/>
    <w:rsid w:val="00665B59"/>
    <w:rsid w:val="00666105"/>
    <w:rsid w:val="0066770A"/>
    <w:rsid w:val="00667868"/>
    <w:rsid w:val="00667931"/>
    <w:rsid w:val="006707CB"/>
    <w:rsid w:val="00670852"/>
    <w:rsid w:val="00670B3B"/>
    <w:rsid w:val="00670CC8"/>
    <w:rsid w:val="00670D40"/>
    <w:rsid w:val="00671243"/>
    <w:rsid w:val="006728D7"/>
    <w:rsid w:val="00673812"/>
    <w:rsid w:val="00674736"/>
    <w:rsid w:val="006767BA"/>
    <w:rsid w:val="00676C19"/>
    <w:rsid w:val="00676D4F"/>
    <w:rsid w:val="0068137E"/>
    <w:rsid w:val="006819B0"/>
    <w:rsid w:val="00681C14"/>
    <w:rsid w:val="00683A42"/>
    <w:rsid w:val="00683AFD"/>
    <w:rsid w:val="006859D8"/>
    <w:rsid w:val="00686706"/>
    <w:rsid w:val="006867FF"/>
    <w:rsid w:val="006869AE"/>
    <w:rsid w:val="00686DC0"/>
    <w:rsid w:val="0068725F"/>
    <w:rsid w:val="00687A1D"/>
    <w:rsid w:val="00687B32"/>
    <w:rsid w:val="00687FC5"/>
    <w:rsid w:val="006901FC"/>
    <w:rsid w:val="00690C5D"/>
    <w:rsid w:val="00691424"/>
    <w:rsid w:val="00691502"/>
    <w:rsid w:val="00691DE4"/>
    <w:rsid w:val="006928F9"/>
    <w:rsid w:val="00692968"/>
    <w:rsid w:val="00693A6F"/>
    <w:rsid w:val="00693C1F"/>
    <w:rsid w:val="00693F69"/>
    <w:rsid w:val="006942FF"/>
    <w:rsid w:val="00694562"/>
    <w:rsid w:val="00695287"/>
    <w:rsid w:val="00695F43"/>
    <w:rsid w:val="006960E4"/>
    <w:rsid w:val="006A0575"/>
    <w:rsid w:val="006A0BF8"/>
    <w:rsid w:val="006A0E60"/>
    <w:rsid w:val="006A2186"/>
    <w:rsid w:val="006A229E"/>
    <w:rsid w:val="006A23E2"/>
    <w:rsid w:val="006A2ABE"/>
    <w:rsid w:val="006A3C08"/>
    <w:rsid w:val="006A4EE1"/>
    <w:rsid w:val="006A5EC7"/>
    <w:rsid w:val="006A737D"/>
    <w:rsid w:val="006A7B4D"/>
    <w:rsid w:val="006B23EF"/>
    <w:rsid w:val="006B2729"/>
    <w:rsid w:val="006B2982"/>
    <w:rsid w:val="006B2C1C"/>
    <w:rsid w:val="006B5B69"/>
    <w:rsid w:val="006B62D8"/>
    <w:rsid w:val="006B6D53"/>
    <w:rsid w:val="006B7D89"/>
    <w:rsid w:val="006C0563"/>
    <w:rsid w:val="006C1305"/>
    <w:rsid w:val="006C281B"/>
    <w:rsid w:val="006C2898"/>
    <w:rsid w:val="006C2C2D"/>
    <w:rsid w:val="006C4029"/>
    <w:rsid w:val="006C4F72"/>
    <w:rsid w:val="006C547E"/>
    <w:rsid w:val="006C601D"/>
    <w:rsid w:val="006C7013"/>
    <w:rsid w:val="006C7974"/>
    <w:rsid w:val="006C7B53"/>
    <w:rsid w:val="006D0620"/>
    <w:rsid w:val="006D06C9"/>
    <w:rsid w:val="006D0811"/>
    <w:rsid w:val="006D0C05"/>
    <w:rsid w:val="006D1380"/>
    <w:rsid w:val="006D144D"/>
    <w:rsid w:val="006D1452"/>
    <w:rsid w:val="006D180E"/>
    <w:rsid w:val="006D1B2E"/>
    <w:rsid w:val="006D34FE"/>
    <w:rsid w:val="006D6DC3"/>
    <w:rsid w:val="006D7475"/>
    <w:rsid w:val="006D747F"/>
    <w:rsid w:val="006D7669"/>
    <w:rsid w:val="006D772E"/>
    <w:rsid w:val="006D7865"/>
    <w:rsid w:val="006E0287"/>
    <w:rsid w:val="006E05DB"/>
    <w:rsid w:val="006E0854"/>
    <w:rsid w:val="006E09EC"/>
    <w:rsid w:val="006E107D"/>
    <w:rsid w:val="006E24E5"/>
    <w:rsid w:val="006E2931"/>
    <w:rsid w:val="006E29C6"/>
    <w:rsid w:val="006E2A6B"/>
    <w:rsid w:val="006E3179"/>
    <w:rsid w:val="006E322B"/>
    <w:rsid w:val="006E3F5C"/>
    <w:rsid w:val="006E4B35"/>
    <w:rsid w:val="006E50AB"/>
    <w:rsid w:val="006E50B7"/>
    <w:rsid w:val="006E5DF3"/>
    <w:rsid w:val="006E7541"/>
    <w:rsid w:val="006F0EB8"/>
    <w:rsid w:val="006F14FE"/>
    <w:rsid w:val="006F15F6"/>
    <w:rsid w:val="006F2ACB"/>
    <w:rsid w:val="006F33FF"/>
    <w:rsid w:val="006F41BE"/>
    <w:rsid w:val="006F458F"/>
    <w:rsid w:val="006F4FCC"/>
    <w:rsid w:val="006F598D"/>
    <w:rsid w:val="006F5AB5"/>
    <w:rsid w:val="006F627B"/>
    <w:rsid w:val="006F6568"/>
    <w:rsid w:val="006F731C"/>
    <w:rsid w:val="006F73CF"/>
    <w:rsid w:val="00700B92"/>
    <w:rsid w:val="00702405"/>
    <w:rsid w:val="007039C4"/>
    <w:rsid w:val="00703BAC"/>
    <w:rsid w:val="00704A64"/>
    <w:rsid w:val="00705881"/>
    <w:rsid w:val="00705A6E"/>
    <w:rsid w:val="00705B51"/>
    <w:rsid w:val="00706500"/>
    <w:rsid w:val="00706511"/>
    <w:rsid w:val="00706DEB"/>
    <w:rsid w:val="007073DE"/>
    <w:rsid w:val="007078B8"/>
    <w:rsid w:val="0071004B"/>
    <w:rsid w:val="00710E31"/>
    <w:rsid w:val="00710E5E"/>
    <w:rsid w:val="0071235D"/>
    <w:rsid w:val="007128EB"/>
    <w:rsid w:val="00712C28"/>
    <w:rsid w:val="007136AB"/>
    <w:rsid w:val="007141AB"/>
    <w:rsid w:val="0071475F"/>
    <w:rsid w:val="00714D46"/>
    <w:rsid w:val="007155E0"/>
    <w:rsid w:val="00717D83"/>
    <w:rsid w:val="00717EED"/>
    <w:rsid w:val="00720460"/>
    <w:rsid w:val="007209B8"/>
    <w:rsid w:val="007227EE"/>
    <w:rsid w:val="00723AC7"/>
    <w:rsid w:val="00723B8C"/>
    <w:rsid w:val="00723E77"/>
    <w:rsid w:val="00724308"/>
    <w:rsid w:val="00725434"/>
    <w:rsid w:val="0072557B"/>
    <w:rsid w:val="00726EA4"/>
    <w:rsid w:val="0072765F"/>
    <w:rsid w:val="007303DD"/>
    <w:rsid w:val="00730D16"/>
    <w:rsid w:val="00731996"/>
    <w:rsid w:val="007325D2"/>
    <w:rsid w:val="00732909"/>
    <w:rsid w:val="00733F77"/>
    <w:rsid w:val="00734B18"/>
    <w:rsid w:val="00735A70"/>
    <w:rsid w:val="00735C71"/>
    <w:rsid w:val="00737659"/>
    <w:rsid w:val="00737D54"/>
    <w:rsid w:val="00741383"/>
    <w:rsid w:val="00742C96"/>
    <w:rsid w:val="00743759"/>
    <w:rsid w:val="00743EDA"/>
    <w:rsid w:val="007455EA"/>
    <w:rsid w:val="00745AC0"/>
    <w:rsid w:val="007478F8"/>
    <w:rsid w:val="0075044D"/>
    <w:rsid w:val="00750850"/>
    <w:rsid w:val="007513BA"/>
    <w:rsid w:val="00751F61"/>
    <w:rsid w:val="00752A18"/>
    <w:rsid w:val="00753CB4"/>
    <w:rsid w:val="00754013"/>
    <w:rsid w:val="007546EB"/>
    <w:rsid w:val="00754873"/>
    <w:rsid w:val="00755C80"/>
    <w:rsid w:val="00755D38"/>
    <w:rsid w:val="0075747F"/>
    <w:rsid w:val="00757695"/>
    <w:rsid w:val="00761A57"/>
    <w:rsid w:val="00761B8A"/>
    <w:rsid w:val="00762044"/>
    <w:rsid w:val="00763544"/>
    <w:rsid w:val="00763D5B"/>
    <w:rsid w:val="00764FFA"/>
    <w:rsid w:val="00765510"/>
    <w:rsid w:val="0076697A"/>
    <w:rsid w:val="00766BBE"/>
    <w:rsid w:val="00766EEC"/>
    <w:rsid w:val="007678BC"/>
    <w:rsid w:val="00767F54"/>
    <w:rsid w:val="0077091D"/>
    <w:rsid w:val="00770E0B"/>
    <w:rsid w:val="0077307A"/>
    <w:rsid w:val="00773128"/>
    <w:rsid w:val="00773372"/>
    <w:rsid w:val="00774A97"/>
    <w:rsid w:val="0077599E"/>
    <w:rsid w:val="00775D16"/>
    <w:rsid w:val="007769C1"/>
    <w:rsid w:val="007808D1"/>
    <w:rsid w:val="00780C4A"/>
    <w:rsid w:val="00781DDA"/>
    <w:rsid w:val="007820D9"/>
    <w:rsid w:val="00782600"/>
    <w:rsid w:val="00782FEF"/>
    <w:rsid w:val="00783386"/>
    <w:rsid w:val="007905CE"/>
    <w:rsid w:val="00790ECC"/>
    <w:rsid w:val="00791707"/>
    <w:rsid w:val="00791AFA"/>
    <w:rsid w:val="00791EE8"/>
    <w:rsid w:val="00791F04"/>
    <w:rsid w:val="0079279D"/>
    <w:rsid w:val="007933B5"/>
    <w:rsid w:val="00793495"/>
    <w:rsid w:val="00793D75"/>
    <w:rsid w:val="00794856"/>
    <w:rsid w:val="00794F8F"/>
    <w:rsid w:val="00794FC0"/>
    <w:rsid w:val="00795657"/>
    <w:rsid w:val="00796F73"/>
    <w:rsid w:val="00797E0E"/>
    <w:rsid w:val="00797E1D"/>
    <w:rsid w:val="007A0062"/>
    <w:rsid w:val="007A0C1C"/>
    <w:rsid w:val="007A1181"/>
    <w:rsid w:val="007A152B"/>
    <w:rsid w:val="007A17EB"/>
    <w:rsid w:val="007A1A6C"/>
    <w:rsid w:val="007A22B6"/>
    <w:rsid w:val="007A2DA2"/>
    <w:rsid w:val="007A3786"/>
    <w:rsid w:val="007A46B5"/>
    <w:rsid w:val="007A4B52"/>
    <w:rsid w:val="007A52C2"/>
    <w:rsid w:val="007A59CC"/>
    <w:rsid w:val="007A69F2"/>
    <w:rsid w:val="007A6B29"/>
    <w:rsid w:val="007A7886"/>
    <w:rsid w:val="007B0DA2"/>
    <w:rsid w:val="007B113B"/>
    <w:rsid w:val="007B352A"/>
    <w:rsid w:val="007B3AAE"/>
    <w:rsid w:val="007B56B8"/>
    <w:rsid w:val="007B63C9"/>
    <w:rsid w:val="007B686F"/>
    <w:rsid w:val="007B6DEA"/>
    <w:rsid w:val="007C09E8"/>
    <w:rsid w:val="007C16B5"/>
    <w:rsid w:val="007C18F9"/>
    <w:rsid w:val="007C20D4"/>
    <w:rsid w:val="007C2E72"/>
    <w:rsid w:val="007C374D"/>
    <w:rsid w:val="007C3A10"/>
    <w:rsid w:val="007C40CF"/>
    <w:rsid w:val="007C4129"/>
    <w:rsid w:val="007C4E0B"/>
    <w:rsid w:val="007C569B"/>
    <w:rsid w:val="007C6358"/>
    <w:rsid w:val="007C6D75"/>
    <w:rsid w:val="007C7983"/>
    <w:rsid w:val="007C7C23"/>
    <w:rsid w:val="007D0546"/>
    <w:rsid w:val="007D069E"/>
    <w:rsid w:val="007D1EE0"/>
    <w:rsid w:val="007D229E"/>
    <w:rsid w:val="007D22BE"/>
    <w:rsid w:val="007D356E"/>
    <w:rsid w:val="007D3C6C"/>
    <w:rsid w:val="007D52AF"/>
    <w:rsid w:val="007D5669"/>
    <w:rsid w:val="007D5FA3"/>
    <w:rsid w:val="007D678E"/>
    <w:rsid w:val="007D6ABA"/>
    <w:rsid w:val="007D7C19"/>
    <w:rsid w:val="007E03BF"/>
    <w:rsid w:val="007E03C3"/>
    <w:rsid w:val="007E0482"/>
    <w:rsid w:val="007E1D46"/>
    <w:rsid w:val="007E40C7"/>
    <w:rsid w:val="007E42FC"/>
    <w:rsid w:val="007E5BF9"/>
    <w:rsid w:val="007E5FA7"/>
    <w:rsid w:val="007E710F"/>
    <w:rsid w:val="007E7642"/>
    <w:rsid w:val="007F059B"/>
    <w:rsid w:val="007F1278"/>
    <w:rsid w:val="007F228C"/>
    <w:rsid w:val="007F2B6D"/>
    <w:rsid w:val="007F2C76"/>
    <w:rsid w:val="007F31D3"/>
    <w:rsid w:val="007F4BC9"/>
    <w:rsid w:val="007F52D4"/>
    <w:rsid w:val="007F53AF"/>
    <w:rsid w:val="007F588A"/>
    <w:rsid w:val="007F58AF"/>
    <w:rsid w:val="007F59CE"/>
    <w:rsid w:val="007F766F"/>
    <w:rsid w:val="007F7F8A"/>
    <w:rsid w:val="00801422"/>
    <w:rsid w:val="008019D8"/>
    <w:rsid w:val="0080202A"/>
    <w:rsid w:val="008025BB"/>
    <w:rsid w:val="00804D2D"/>
    <w:rsid w:val="00805068"/>
    <w:rsid w:val="00805307"/>
    <w:rsid w:val="0080742F"/>
    <w:rsid w:val="00807768"/>
    <w:rsid w:val="00807FD7"/>
    <w:rsid w:val="00810B8D"/>
    <w:rsid w:val="00810F8C"/>
    <w:rsid w:val="008112A8"/>
    <w:rsid w:val="0081137D"/>
    <w:rsid w:val="00813A65"/>
    <w:rsid w:val="00814352"/>
    <w:rsid w:val="008144EF"/>
    <w:rsid w:val="008146FF"/>
    <w:rsid w:val="00814824"/>
    <w:rsid w:val="00814C5A"/>
    <w:rsid w:val="008159E9"/>
    <w:rsid w:val="00816403"/>
    <w:rsid w:val="00817785"/>
    <w:rsid w:val="008177D4"/>
    <w:rsid w:val="00820C90"/>
    <w:rsid w:val="0082168C"/>
    <w:rsid w:val="0082267F"/>
    <w:rsid w:val="00822F92"/>
    <w:rsid w:val="0082390F"/>
    <w:rsid w:val="008248E9"/>
    <w:rsid w:val="00825273"/>
    <w:rsid w:val="0082559F"/>
    <w:rsid w:val="008257B6"/>
    <w:rsid w:val="00826171"/>
    <w:rsid w:val="008308FC"/>
    <w:rsid w:val="008326A7"/>
    <w:rsid w:val="008326C2"/>
    <w:rsid w:val="00832C9E"/>
    <w:rsid w:val="0083351F"/>
    <w:rsid w:val="008356A0"/>
    <w:rsid w:val="00835723"/>
    <w:rsid w:val="00835816"/>
    <w:rsid w:val="00835B10"/>
    <w:rsid w:val="00836191"/>
    <w:rsid w:val="00836631"/>
    <w:rsid w:val="00836BCE"/>
    <w:rsid w:val="00836C51"/>
    <w:rsid w:val="00837624"/>
    <w:rsid w:val="00840210"/>
    <w:rsid w:val="008420C9"/>
    <w:rsid w:val="00842488"/>
    <w:rsid w:val="00842793"/>
    <w:rsid w:val="00843A93"/>
    <w:rsid w:val="008440CD"/>
    <w:rsid w:val="00844D33"/>
    <w:rsid w:val="00846812"/>
    <w:rsid w:val="00846B0B"/>
    <w:rsid w:val="0084705F"/>
    <w:rsid w:val="00847C82"/>
    <w:rsid w:val="00850177"/>
    <w:rsid w:val="00851046"/>
    <w:rsid w:val="008511EE"/>
    <w:rsid w:val="00851B42"/>
    <w:rsid w:val="0085437F"/>
    <w:rsid w:val="008550DE"/>
    <w:rsid w:val="00855A83"/>
    <w:rsid w:val="00855B00"/>
    <w:rsid w:val="00856B25"/>
    <w:rsid w:val="00857DB9"/>
    <w:rsid w:val="00860495"/>
    <w:rsid w:val="00860BC3"/>
    <w:rsid w:val="0086129D"/>
    <w:rsid w:val="00861FE4"/>
    <w:rsid w:val="00862334"/>
    <w:rsid w:val="00862452"/>
    <w:rsid w:val="00862E6A"/>
    <w:rsid w:val="00862FCD"/>
    <w:rsid w:val="008649AA"/>
    <w:rsid w:val="00865C0E"/>
    <w:rsid w:val="0086674E"/>
    <w:rsid w:val="008669E6"/>
    <w:rsid w:val="00866F32"/>
    <w:rsid w:val="0086725C"/>
    <w:rsid w:val="008673CD"/>
    <w:rsid w:val="008700CB"/>
    <w:rsid w:val="0087049C"/>
    <w:rsid w:val="00870818"/>
    <w:rsid w:val="0087283D"/>
    <w:rsid w:val="00873670"/>
    <w:rsid w:val="00873CF1"/>
    <w:rsid w:val="00874E02"/>
    <w:rsid w:val="00874FA9"/>
    <w:rsid w:val="0087510C"/>
    <w:rsid w:val="008755C2"/>
    <w:rsid w:val="00875B18"/>
    <w:rsid w:val="00876082"/>
    <w:rsid w:val="00881561"/>
    <w:rsid w:val="008826C4"/>
    <w:rsid w:val="00882C31"/>
    <w:rsid w:val="00883007"/>
    <w:rsid w:val="00883589"/>
    <w:rsid w:val="008837F8"/>
    <w:rsid w:val="00884068"/>
    <w:rsid w:val="008855A4"/>
    <w:rsid w:val="008863C3"/>
    <w:rsid w:val="0088773E"/>
    <w:rsid w:val="0089080F"/>
    <w:rsid w:val="00891F4A"/>
    <w:rsid w:val="00892054"/>
    <w:rsid w:val="00892A70"/>
    <w:rsid w:val="008937F2"/>
    <w:rsid w:val="00893F02"/>
    <w:rsid w:val="008942A1"/>
    <w:rsid w:val="008942E4"/>
    <w:rsid w:val="00894746"/>
    <w:rsid w:val="00894C64"/>
    <w:rsid w:val="0089613B"/>
    <w:rsid w:val="00896544"/>
    <w:rsid w:val="00897796"/>
    <w:rsid w:val="008A1017"/>
    <w:rsid w:val="008A1CC0"/>
    <w:rsid w:val="008A2938"/>
    <w:rsid w:val="008A2C07"/>
    <w:rsid w:val="008A2D85"/>
    <w:rsid w:val="008A4B71"/>
    <w:rsid w:val="008A4E85"/>
    <w:rsid w:val="008A52B8"/>
    <w:rsid w:val="008A52BC"/>
    <w:rsid w:val="008A547B"/>
    <w:rsid w:val="008A5FAC"/>
    <w:rsid w:val="008B0EB5"/>
    <w:rsid w:val="008B15B5"/>
    <w:rsid w:val="008B19B7"/>
    <w:rsid w:val="008B340B"/>
    <w:rsid w:val="008B350F"/>
    <w:rsid w:val="008B3C31"/>
    <w:rsid w:val="008B3F4E"/>
    <w:rsid w:val="008B4602"/>
    <w:rsid w:val="008B574C"/>
    <w:rsid w:val="008B5C8E"/>
    <w:rsid w:val="008B6294"/>
    <w:rsid w:val="008B659A"/>
    <w:rsid w:val="008B6E2C"/>
    <w:rsid w:val="008B7A8D"/>
    <w:rsid w:val="008B7B37"/>
    <w:rsid w:val="008B7F22"/>
    <w:rsid w:val="008C0565"/>
    <w:rsid w:val="008C0C68"/>
    <w:rsid w:val="008C0F1F"/>
    <w:rsid w:val="008C2554"/>
    <w:rsid w:val="008C25F9"/>
    <w:rsid w:val="008C2E9D"/>
    <w:rsid w:val="008C32B1"/>
    <w:rsid w:val="008C3A70"/>
    <w:rsid w:val="008C4BC0"/>
    <w:rsid w:val="008C4BE9"/>
    <w:rsid w:val="008C654D"/>
    <w:rsid w:val="008C7070"/>
    <w:rsid w:val="008C7FD1"/>
    <w:rsid w:val="008D0718"/>
    <w:rsid w:val="008D195B"/>
    <w:rsid w:val="008D1CFA"/>
    <w:rsid w:val="008D23CC"/>
    <w:rsid w:val="008D2CEE"/>
    <w:rsid w:val="008D345E"/>
    <w:rsid w:val="008D4F82"/>
    <w:rsid w:val="008D6B08"/>
    <w:rsid w:val="008D6CCF"/>
    <w:rsid w:val="008D7A3F"/>
    <w:rsid w:val="008E0192"/>
    <w:rsid w:val="008E20CE"/>
    <w:rsid w:val="008E233E"/>
    <w:rsid w:val="008E2E24"/>
    <w:rsid w:val="008E325D"/>
    <w:rsid w:val="008E3475"/>
    <w:rsid w:val="008E4358"/>
    <w:rsid w:val="008E4688"/>
    <w:rsid w:val="008E5C99"/>
    <w:rsid w:val="008E5E2F"/>
    <w:rsid w:val="008E6C86"/>
    <w:rsid w:val="008E6FCE"/>
    <w:rsid w:val="008E7DA8"/>
    <w:rsid w:val="008F07CC"/>
    <w:rsid w:val="008F1C12"/>
    <w:rsid w:val="008F240B"/>
    <w:rsid w:val="008F2429"/>
    <w:rsid w:val="008F26F1"/>
    <w:rsid w:val="008F379F"/>
    <w:rsid w:val="008F3D84"/>
    <w:rsid w:val="008F48FB"/>
    <w:rsid w:val="008F7C43"/>
    <w:rsid w:val="009009D6"/>
    <w:rsid w:val="00901204"/>
    <w:rsid w:val="00901472"/>
    <w:rsid w:val="009020B7"/>
    <w:rsid w:val="00903406"/>
    <w:rsid w:val="009037CA"/>
    <w:rsid w:val="009041A3"/>
    <w:rsid w:val="0090475C"/>
    <w:rsid w:val="009049D7"/>
    <w:rsid w:val="009057C0"/>
    <w:rsid w:val="00906812"/>
    <w:rsid w:val="00907E66"/>
    <w:rsid w:val="00910B4E"/>
    <w:rsid w:val="009115F4"/>
    <w:rsid w:val="00912221"/>
    <w:rsid w:val="00912687"/>
    <w:rsid w:val="00912754"/>
    <w:rsid w:val="00913302"/>
    <w:rsid w:val="009147AE"/>
    <w:rsid w:val="00914845"/>
    <w:rsid w:val="0091561C"/>
    <w:rsid w:val="009158FA"/>
    <w:rsid w:val="00916DDE"/>
    <w:rsid w:val="00920F01"/>
    <w:rsid w:val="009222AD"/>
    <w:rsid w:val="0092244F"/>
    <w:rsid w:val="0092254D"/>
    <w:rsid w:val="00922CD3"/>
    <w:rsid w:val="00922F2F"/>
    <w:rsid w:val="0092524E"/>
    <w:rsid w:val="0092608C"/>
    <w:rsid w:val="009261E4"/>
    <w:rsid w:val="00926844"/>
    <w:rsid w:val="00930CFE"/>
    <w:rsid w:val="009310B7"/>
    <w:rsid w:val="00932237"/>
    <w:rsid w:val="00933610"/>
    <w:rsid w:val="0093365A"/>
    <w:rsid w:val="00933876"/>
    <w:rsid w:val="00933CF9"/>
    <w:rsid w:val="00934020"/>
    <w:rsid w:val="00934B10"/>
    <w:rsid w:val="00934C8D"/>
    <w:rsid w:val="00934FDA"/>
    <w:rsid w:val="00935472"/>
    <w:rsid w:val="009364AC"/>
    <w:rsid w:val="00936836"/>
    <w:rsid w:val="00936875"/>
    <w:rsid w:val="009370C8"/>
    <w:rsid w:val="00937884"/>
    <w:rsid w:val="00940304"/>
    <w:rsid w:val="009403A6"/>
    <w:rsid w:val="0094094B"/>
    <w:rsid w:val="00940A36"/>
    <w:rsid w:val="00940F67"/>
    <w:rsid w:val="00941B76"/>
    <w:rsid w:val="00941C1C"/>
    <w:rsid w:val="00941F8F"/>
    <w:rsid w:val="00942C2F"/>
    <w:rsid w:val="00943414"/>
    <w:rsid w:val="0094394A"/>
    <w:rsid w:val="00943D13"/>
    <w:rsid w:val="00944813"/>
    <w:rsid w:val="00944B20"/>
    <w:rsid w:val="00944DD3"/>
    <w:rsid w:val="00944EAC"/>
    <w:rsid w:val="009476EF"/>
    <w:rsid w:val="00947DE2"/>
    <w:rsid w:val="009512D9"/>
    <w:rsid w:val="00951C70"/>
    <w:rsid w:val="00952A84"/>
    <w:rsid w:val="00952B27"/>
    <w:rsid w:val="00952D57"/>
    <w:rsid w:val="0095340E"/>
    <w:rsid w:val="00953A1F"/>
    <w:rsid w:val="009543D1"/>
    <w:rsid w:val="0095464D"/>
    <w:rsid w:val="009577A6"/>
    <w:rsid w:val="0095782E"/>
    <w:rsid w:val="00957C39"/>
    <w:rsid w:val="00960F57"/>
    <w:rsid w:val="0096131C"/>
    <w:rsid w:val="009617D3"/>
    <w:rsid w:val="00961BC5"/>
    <w:rsid w:val="00961D0F"/>
    <w:rsid w:val="00961F53"/>
    <w:rsid w:val="00962C4C"/>
    <w:rsid w:val="009631CA"/>
    <w:rsid w:val="00963679"/>
    <w:rsid w:val="00964CE0"/>
    <w:rsid w:val="00965329"/>
    <w:rsid w:val="00965B0A"/>
    <w:rsid w:val="00965E42"/>
    <w:rsid w:val="00966796"/>
    <w:rsid w:val="00966B8C"/>
    <w:rsid w:val="00966DE9"/>
    <w:rsid w:val="00966F23"/>
    <w:rsid w:val="00967408"/>
    <w:rsid w:val="00970042"/>
    <w:rsid w:val="0097048C"/>
    <w:rsid w:val="00971335"/>
    <w:rsid w:val="009714A9"/>
    <w:rsid w:val="00972511"/>
    <w:rsid w:val="00972737"/>
    <w:rsid w:val="00972878"/>
    <w:rsid w:val="00972AB9"/>
    <w:rsid w:val="00973837"/>
    <w:rsid w:val="00974AA0"/>
    <w:rsid w:val="00975A77"/>
    <w:rsid w:val="00975AEB"/>
    <w:rsid w:val="00975EF0"/>
    <w:rsid w:val="00976311"/>
    <w:rsid w:val="0097679B"/>
    <w:rsid w:val="0097695E"/>
    <w:rsid w:val="009777B0"/>
    <w:rsid w:val="009802DB"/>
    <w:rsid w:val="009804A0"/>
    <w:rsid w:val="009806A4"/>
    <w:rsid w:val="0098070B"/>
    <w:rsid w:val="0098099C"/>
    <w:rsid w:val="0098119C"/>
    <w:rsid w:val="009825E2"/>
    <w:rsid w:val="009832DE"/>
    <w:rsid w:val="00983557"/>
    <w:rsid w:val="00983A96"/>
    <w:rsid w:val="009841A1"/>
    <w:rsid w:val="009845A9"/>
    <w:rsid w:val="009859E1"/>
    <w:rsid w:val="00985C79"/>
    <w:rsid w:val="0098715D"/>
    <w:rsid w:val="00987D1D"/>
    <w:rsid w:val="009900D5"/>
    <w:rsid w:val="009906C8"/>
    <w:rsid w:val="00990B37"/>
    <w:rsid w:val="00990E9C"/>
    <w:rsid w:val="009919A0"/>
    <w:rsid w:val="00991D93"/>
    <w:rsid w:val="009926F4"/>
    <w:rsid w:val="00993B20"/>
    <w:rsid w:val="00993B2D"/>
    <w:rsid w:val="00994D53"/>
    <w:rsid w:val="009951C2"/>
    <w:rsid w:val="00997EA3"/>
    <w:rsid w:val="009A12E5"/>
    <w:rsid w:val="009A16DA"/>
    <w:rsid w:val="009A1C59"/>
    <w:rsid w:val="009A21EF"/>
    <w:rsid w:val="009A2238"/>
    <w:rsid w:val="009A2EBE"/>
    <w:rsid w:val="009A2EC5"/>
    <w:rsid w:val="009A3395"/>
    <w:rsid w:val="009A3EB8"/>
    <w:rsid w:val="009A43FF"/>
    <w:rsid w:val="009A6ABB"/>
    <w:rsid w:val="009A6F3B"/>
    <w:rsid w:val="009A71B3"/>
    <w:rsid w:val="009B05E2"/>
    <w:rsid w:val="009B0B5E"/>
    <w:rsid w:val="009B139F"/>
    <w:rsid w:val="009B176B"/>
    <w:rsid w:val="009B25BD"/>
    <w:rsid w:val="009B2623"/>
    <w:rsid w:val="009B2FE1"/>
    <w:rsid w:val="009B3ECD"/>
    <w:rsid w:val="009B428F"/>
    <w:rsid w:val="009B4623"/>
    <w:rsid w:val="009B4B7B"/>
    <w:rsid w:val="009B4FAA"/>
    <w:rsid w:val="009B58AF"/>
    <w:rsid w:val="009B5AB2"/>
    <w:rsid w:val="009B5CAD"/>
    <w:rsid w:val="009B61B8"/>
    <w:rsid w:val="009B6495"/>
    <w:rsid w:val="009B6A84"/>
    <w:rsid w:val="009B6B6B"/>
    <w:rsid w:val="009B6B9C"/>
    <w:rsid w:val="009B72CC"/>
    <w:rsid w:val="009B72D0"/>
    <w:rsid w:val="009B780D"/>
    <w:rsid w:val="009C17E8"/>
    <w:rsid w:val="009C32D8"/>
    <w:rsid w:val="009C3C6F"/>
    <w:rsid w:val="009C3CE0"/>
    <w:rsid w:val="009C506B"/>
    <w:rsid w:val="009C56EB"/>
    <w:rsid w:val="009C6365"/>
    <w:rsid w:val="009C6660"/>
    <w:rsid w:val="009C67AD"/>
    <w:rsid w:val="009C68CB"/>
    <w:rsid w:val="009D1093"/>
    <w:rsid w:val="009D14B0"/>
    <w:rsid w:val="009D2262"/>
    <w:rsid w:val="009D36D7"/>
    <w:rsid w:val="009D3E90"/>
    <w:rsid w:val="009D50E9"/>
    <w:rsid w:val="009D5A86"/>
    <w:rsid w:val="009D6F39"/>
    <w:rsid w:val="009E027F"/>
    <w:rsid w:val="009E0555"/>
    <w:rsid w:val="009E0CF5"/>
    <w:rsid w:val="009E193F"/>
    <w:rsid w:val="009E1DB8"/>
    <w:rsid w:val="009E20F4"/>
    <w:rsid w:val="009E21B0"/>
    <w:rsid w:val="009E2615"/>
    <w:rsid w:val="009E270A"/>
    <w:rsid w:val="009E2C61"/>
    <w:rsid w:val="009E366A"/>
    <w:rsid w:val="009E3A7E"/>
    <w:rsid w:val="009E47DA"/>
    <w:rsid w:val="009E55ED"/>
    <w:rsid w:val="009E5B99"/>
    <w:rsid w:val="009E6E19"/>
    <w:rsid w:val="009E787A"/>
    <w:rsid w:val="009F03E3"/>
    <w:rsid w:val="009F1014"/>
    <w:rsid w:val="009F1562"/>
    <w:rsid w:val="009F15D5"/>
    <w:rsid w:val="009F1634"/>
    <w:rsid w:val="009F1CAF"/>
    <w:rsid w:val="009F31EC"/>
    <w:rsid w:val="009F3902"/>
    <w:rsid w:val="009F3947"/>
    <w:rsid w:val="009F4741"/>
    <w:rsid w:val="009F500E"/>
    <w:rsid w:val="009F590D"/>
    <w:rsid w:val="009F7717"/>
    <w:rsid w:val="009F7D86"/>
    <w:rsid w:val="00A00061"/>
    <w:rsid w:val="00A0115E"/>
    <w:rsid w:val="00A0130B"/>
    <w:rsid w:val="00A02943"/>
    <w:rsid w:val="00A02E65"/>
    <w:rsid w:val="00A03BEC"/>
    <w:rsid w:val="00A03DF6"/>
    <w:rsid w:val="00A047F0"/>
    <w:rsid w:val="00A059CA"/>
    <w:rsid w:val="00A05ACF"/>
    <w:rsid w:val="00A05FC8"/>
    <w:rsid w:val="00A07EB8"/>
    <w:rsid w:val="00A109CB"/>
    <w:rsid w:val="00A119F0"/>
    <w:rsid w:val="00A12440"/>
    <w:rsid w:val="00A12AA4"/>
    <w:rsid w:val="00A12BE5"/>
    <w:rsid w:val="00A13FB4"/>
    <w:rsid w:val="00A14310"/>
    <w:rsid w:val="00A14D08"/>
    <w:rsid w:val="00A150E6"/>
    <w:rsid w:val="00A17BDB"/>
    <w:rsid w:val="00A2024F"/>
    <w:rsid w:val="00A2137E"/>
    <w:rsid w:val="00A21BEF"/>
    <w:rsid w:val="00A223BE"/>
    <w:rsid w:val="00A24057"/>
    <w:rsid w:val="00A2452F"/>
    <w:rsid w:val="00A24DF2"/>
    <w:rsid w:val="00A25B00"/>
    <w:rsid w:val="00A25B45"/>
    <w:rsid w:val="00A26B02"/>
    <w:rsid w:val="00A26C14"/>
    <w:rsid w:val="00A27983"/>
    <w:rsid w:val="00A279DB"/>
    <w:rsid w:val="00A27C79"/>
    <w:rsid w:val="00A27FBC"/>
    <w:rsid w:val="00A30443"/>
    <w:rsid w:val="00A30952"/>
    <w:rsid w:val="00A30A79"/>
    <w:rsid w:val="00A30F62"/>
    <w:rsid w:val="00A31107"/>
    <w:rsid w:val="00A31A5E"/>
    <w:rsid w:val="00A32385"/>
    <w:rsid w:val="00A34272"/>
    <w:rsid w:val="00A34E28"/>
    <w:rsid w:val="00A356B1"/>
    <w:rsid w:val="00A364EF"/>
    <w:rsid w:val="00A3659A"/>
    <w:rsid w:val="00A37722"/>
    <w:rsid w:val="00A41F4C"/>
    <w:rsid w:val="00A42348"/>
    <w:rsid w:val="00A42C07"/>
    <w:rsid w:val="00A42E26"/>
    <w:rsid w:val="00A439C4"/>
    <w:rsid w:val="00A4456C"/>
    <w:rsid w:val="00A4687D"/>
    <w:rsid w:val="00A46EB5"/>
    <w:rsid w:val="00A474F5"/>
    <w:rsid w:val="00A4779A"/>
    <w:rsid w:val="00A47851"/>
    <w:rsid w:val="00A47912"/>
    <w:rsid w:val="00A50553"/>
    <w:rsid w:val="00A50F87"/>
    <w:rsid w:val="00A514AF"/>
    <w:rsid w:val="00A52BF2"/>
    <w:rsid w:val="00A5367F"/>
    <w:rsid w:val="00A538C7"/>
    <w:rsid w:val="00A53947"/>
    <w:rsid w:val="00A53BC2"/>
    <w:rsid w:val="00A55740"/>
    <w:rsid w:val="00A560A9"/>
    <w:rsid w:val="00A56E0A"/>
    <w:rsid w:val="00A60B9A"/>
    <w:rsid w:val="00A61CEB"/>
    <w:rsid w:val="00A62A07"/>
    <w:rsid w:val="00A6310A"/>
    <w:rsid w:val="00A64328"/>
    <w:rsid w:val="00A646DF"/>
    <w:rsid w:val="00A64D08"/>
    <w:rsid w:val="00A654A5"/>
    <w:rsid w:val="00A65C6E"/>
    <w:rsid w:val="00A6602E"/>
    <w:rsid w:val="00A67552"/>
    <w:rsid w:val="00A706E2"/>
    <w:rsid w:val="00A7114B"/>
    <w:rsid w:val="00A71C8C"/>
    <w:rsid w:val="00A721D3"/>
    <w:rsid w:val="00A72241"/>
    <w:rsid w:val="00A73098"/>
    <w:rsid w:val="00A736B2"/>
    <w:rsid w:val="00A73B48"/>
    <w:rsid w:val="00A754BA"/>
    <w:rsid w:val="00A76185"/>
    <w:rsid w:val="00A76283"/>
    <w:rsid w:val="00A767E9"/>
    <w:rsid w:val="00A8124C"/>
    <w:rsid w:val="00A82480"/>
    <w:rsid w:val="00A8335B"/>
    <w:rsid w:val="00A834AA"/>
    <w:rsid w:val="00A84D68"/>
    <w:rsid w:val="00A8519E"/>
    <w:rsid w:val="00A856C0"/>
    <w:rsid w:val="00A85C40"/>
    <w:rsid w:val="00A862F8"/>
    <w:rsid w:val="00A87D73"/>
    <w:rsid w:val="00A90DF3"/>
    <w:rsid w:val="00A910E0"/>
    <w:rsid w:val="00A91A33"/>
    <w:rsid w:val="00A91DE5"/>
    <w:rsid w:val="00A920F5"/>
    <w:rsid w:val="00A9427E"/>
    <w:rsid w:val="00A943BD"/>
    <w:rsid w:val="00A94AA2"/>
    <w:rsid w:val="00A96259"/>
    <w:rsid w:val="00A96F60"/>
    <w:rsid w:val="00AA0A18"/>
    <w:rsid w:val="00AA1ED5"/>
    <w:rsid w:val="00AA2E93"/>
    <w:rsid w:val="00AA415C"/>
    <w:rsid w:val="00AA48BF"/>
    <w:rsid w:val="00AA560B"/>
    <w:rsid w:val="00AA58AB"/>
    <w:rsid w:val="00AA601C"/>
    <w:rsid w:val="00AB0335"/>
    <w:rsid w:val="00AB232B"/>
    <w:rsid w:val="00AB3D9A"/>
    <w:rsid w:val="00AB3F17"/>
    <w:rsid w:val="00AB4876"/>
    <w:rsid w:val="00AB5BFC"/>
    <w:rsid w:val="00AB6727"/>
    <w:rsid w:val="00AB69AC"/>
    <w:rsid w:val="00AB7F32"/>
    <w:rsid w:val="00AC058D"/>
    <w:rsid w:val="00AC19F9"/>
    <w:rsid w:val="00AC1F56"/>
    <w:rsid w:val="00AC266D"/>
    <w:rsid w:val="00AC3EDC"/>
    <w:rsid w:val="00AC404A"/>
    <w:rsid w:val="00AC4BB0"/>
    <w:rsid w:val="00AC518E"/>
    <w:rsid w:val="00AC5275"/>
    <w:rsid w:val="00AC5FC9"/>
    <w:rsid w:val="00AC6221"/>
    <w:rsid w:val="00AC62D9"/>
    <w:rsid w:val="00AC6688"/>
    <w:rsid w:val="00AC6DB0"/>
    <w:rsid w:val="00AD0F1C"/>
    <w:rsid w:val="00AD1447"/>
    <w:rsid w:val="00AD1500"/>
    <w:rsid w:val="00AD3871"/>
    <w:rsid w:val="00AD50C4"/>
    <w:rsid w:val="00AD5A69"/>
    <w:rsid w:val="00AD5CEE"/>
    <w:rsid w:val="00AD5D94"/>
    <w:rsid w:val="00AD6055"/>
    <w:rsid w:val="00AD6896"/>
    <w:rsid w:val="00AD6EB0"/>
    <w:rsid w:val="00AD7149"/>
    <w:rsid w:val="00AD7CED"/>
    <w:rsid w:val="00AD7F8D"/>
    <w:rsid w:val="00AE0188"/>
    <w:rsid w:val="00AE1B63"/>
    <w:rsid w:val="00AE2F80"/>
    <w:rsid w:val="00AE2F96"/>
    <w:rsid w:val="00AE3662"/>
    <w:rsid w:val="00AE3C4B"/>
    <w:rsid w:val="00AE4153"/>
    <w:rsid w:val="00AE455B"/>
    <w:rsid w:val="00AE4652"/>
    <w:rsid w:val="00AE532D"/>
    <w:rsid w:val="00AE5360"/>
    <w:rsid w:val="00AE7370"/>
    <w:rsid w:val="00AF09DC"/>
    <w:rsid w:val="00AF0D68"/>
    <w:rsid w:val="00AF1867"/>
    <w:rsid w:val="00AF309A"/>
    <w:rsid w:val="00AF3328"/>
    <w:rsid w:val="00AF35B0"/>
    <w:rsid w:val="00AF3E50"/>
    <w:rsid w:val="00AF4B12"/>
    <w:rsid w:val="00AF5D4A"/>
    <w:rsid w:val="00AF6041"/>
    <w:rsid w:val="00AF6AF3"/>
    <w:rsid w:val="00AF74B0"/>
    <w:rsid w:val="00AF7A9D"/>
    <w:rsid w:val="00B02581"/>
    <w:rsid w:val="00B04BAE"/>
    <w:rsid w:val="00B051E8"/>
    <w:rsid w:val="00B05B83"/>
    <w:rsid w:val="00B060EC"/>
    <w:rsid w:val="00B0624B"/>
    <w:rsid w:val="00B0763A"/>
    <w:rsid w:val="00B10CAE"/>
    <w:rsid w:val="00B10F7A"/>
    <w:rsid w:val="00B11AF5"/>
    <w:rsid w:val="00B120FB"/>
    <w:rsid w:val="00B127E2"/>
    <w:rsid w:val="00B12A40"/>
    <w:rsid w:val="00B12C4A"/>
    <w:rsid w:val="00B14288"/>
    <w:rsid w:val="00B1483E"/>
    <w:rsid w:val="00B14FDC"/>
    <w:rsid w:val="00B1582E"/>
    <w:rsid w:val="00B204DE"/>
    <w:rsid w:val="00B2167F"/>
    <w:rsid w:val="00B21737"/>
    <w:rsid w:val="00B21EBB"/>
    <w:rsid w:val="00B2294E"/>
    <w:rsid w:val="00B23519"/>
    <w:rsid w:val="00B23733"/>
    <w:rsid w:val="00B23973"/>
    <w:rsid w:val="00B247A4"/>
    <w:rsid w:val="00B25096"/>
    <w:rsid w:val="00B26E31"/>
    <w:rsid w:val="00B27A4C"/>
    <w:rsid w:val="00B27C9E"/>
    <w:rsid w:val="00B30482"/>
    <w:rsid w:val="00B30783"/>
    <w:rsid w:val="00B3086E"/>
    <w:rsid w:val="00B31097"/>
    <w:rsid w:val="00B32399"/>
    <w:rsid w:val="00B3247E"/>
    <w:rsid w:val="00B33B0C"/>
    <w:rsid w:val="00B33D51"/>
    <w:rsid w:val="00B3553F"/>
    <w:rsid w:val="00B369BE"/>
    <w:rsid w:val="00B40593"/>
    <w:rsid w:val="00B415AB"/>
    <w:rsid w:val="00B416FF"/>
    <w:rsid w:val="00B429B1"/>
    <w:rsid w:val="00B4323D"/>
    <w:rsid w:val="00B43660"/>
    <w:rsid w:val="00B43978"/>
    <w:rsid w:val="00B44107"/>
    <w:rsid w:val="00B45789"/>
    <w:rsid w:val="00B458D3"/>
    <w:rsid w:val="00B47787"/>
    <w:rsid w:val="00B50B51"/>
    <w:rsid w:val="00B50D9E"/>
    <w:rsid w:val="00B520BF"/>
    <w:rsid w:val="00B53AD5"/>
    <w:rsid w:val="00B53AF8"/>
    <w:rsid w:val="00B5401A"/>
    <w:rsid w:val="00B54161"/>
    <w:rsid w:val="00B54B9F"/>
    <w:rsid w:val="00B554CD"/>
    <w:rsid w:val="00B55A29"/>
    <w:rsid w:val="00B55F31"/>
    <w:rsid w:val="00B56206"/>
    <w:rsid w:val="00B5684A"/>
    <w:rsid w:val="00B56B17"/>
    <w:rsid w:val="00B56FE7"/>
    <w:rsid w:val="00B571E9"/>
    <w:rsid w:val="00B5730C"/>
    <w:rsid w:val="00B574CC"/>
    <w:rsid w:val="00B60451"/>
    <w:rsid w:val="00B6045B"/>
    <w:rsid w:val="00B607DC"/>
    <w:rsid w:val="00B60EEB"/>
    <w:rsid w:val="00B619B5"/>
    <w:rsid w:val="00B626B2"/>
    <w:rsid w:val="00B628C1"/>
    <w:rsid w:val="00B63D68"/>
    <w:rsid w:val="00B65863"/>
    <w:rsid w:val="00B65C02"/>
    <w:rsid w:val="00B66538"/>
    <w:rsid w:val="00B67774"/>
    <w:rsid w:val="00B70678"/>
    <w:rsid w:val="00B70FF5"/>
    <w:rsid w:val="00B71302"/>
    <w:rsid w:val="00B72332"/>
    <w:rsid w:val="00B72DEB"/>
    <w:rsid w:val="00B72FAA"/>
    <w:rsid w:val="00B744DA"/>
    <w:rsid w:val="00B74659"/>
    <w:rsid w:val="00B74C72"/>
    <w:rsid w:val="00B75132"/>
    <w:rsid w:val="00B75E0D"/>
    <w:rsid w:val="00B7637A"/>
    <w:rsid w:val="00B768E2"/>
    <w:rsid w:val="00B76EAC"/>
    <w:rsid w:val="00B7767A"/>
    <w:rsid w:val="00B77899"/>
    <w:rsid w:val="00B77AB3"/>
    <w:rsid w:val="00B80AD7"/>
    <w:rsid w:val="00B81CAC"/>
    <w:rsid w:val="00B82786"/>
    <w:rsid w:val="00B83DED"/>
    <w:rsid w:val="00B841CF"/>
    <w:rsid w:val="00B857CF"/>
    <w:rsid w:val="00B85819"/>
    <w:rsid w:val="00B85C92"/>
    <w:rsid w:val="00B85D65"/>
    <w:rsid w:val="00B86284"/>
    <w:rsid w:val="00B91344"/>
    <w:rsid w:val="00B9169D"/>
    <w:rsid w:val="00B92A33"/>
    <w:rsid w:val="00B92C4F"/>
    <w:rsid w:val="00B92E02"/>
    <w:rsid w:val="00B95064"/>
    <w:rsid w:val="00B95453"/>
    <w:rsid w:val="00B95E41"/>
    <w:rsid w:val="00BA0E2B"/>
    <w:rsid w:val="00BA1441"/>
    <w:rsid w:val="00BA1851"/>
    <w:rsid w:val="00BA19AA"/>
    <w:rsid w:val="00BA2F55"/>
    <w:rsid w:val="00BA418C"/>
    <w:rsid w:val="00BA447B"/>
    <w:rsid w:val="00BA4BC2"/>
    <w:rsid w:val="00BA6000"/>
    <w:rsid w:val="00BA6A8D"/>
    <w:rsid w:val="00BA7A53"/>
    <w:rsid w:val="00BA7F56"/>
    <w:rsid w:val="00BA7FAC"/>
    <w:rsid w:val="00BB00A5"/>
    <w:rsid w:val="00BB117C"/>
    <w:rsid w:val="00BB1A52"/>
    <w:rsid w:val="00BB2ACF"/>
    <w:rsid w:val="00BB338F"/>
    <w:rsid w:val="00BB3F0F"/>
    <w:rsid w:val="00BB661A"/>
    <w:rsid w:val="00BB6671"/>
    <w:rsid w:val="00BB6793"/>
    <w:rsid w:val="00BB6B2A"/>
    <w:rsid w:val="00BB7138"/>
    <w:rsid w:val="00BB7393"/>
    <w:rsid w:val="00BB7A8D"/>
    <w:rsid w:val="00BB7C9A"/>
    <w:rsid w:val="00BB7E4A"/>
    <w:rsid w:val="00BC099B"/>
    <w:rsid w:val="00BC0A55"/>
    <w:rsid w:val="00BC27C0"/>
    <w:rsid w:val="00BC3812"/>
    <w:rsid w:val="00BC459A"/>
    <w:rsid w:val="00BC47F8"/>
    <w:rsid w:val="00BC4FC2"/>
    <w:rsid w:val="00BC54A1"/>
    <w:rsid w:val="00BC604A"/>
    <w:rsid w:val="00BC7A83"/>
    <w:rsid w:val="00BD050C"/>
    <w:rsid w:val="00BD0BCE"/>
    <w:rsid w:val="00BD37C6"/>
    <w:rsid w:val="00BD4A90"/>
    <w:rsid w:val="00BD56EB"/>
    <w:rsid w:val="00BD5F30"/>
    <w:rsid w:val="00BD6171"/>
    <w:rsid w:val="00BE0D0E"/>
    <w:rsid w:val="00BE0F29"/>
    <w:rsid w:val="00BE10E2"/>
    <w:rsid w:val="00BE10F0"/>
    <w:rsid w:val="00BE1853"/>
    <w:rsid w:val="00BE1EB4"/>
    <w:rsid w:val="00BE5EB4"/>
    <w:rsid w:val="00BE6290"/>
    <w:rsid w:val="00BE6782"/>
    <w:rsid w:val="00BE6FB1"/>
    <w:rsid w:val="00BE716E"/>
    <w:rsid w:val="00BE7226"/>
    <w:rsid w:val="00BE72AA"/>
    <w:rsid w:val="00BE7A12"/>
    <w:rsid w:val="00BF030F"/>
    <w:rsid w:val="00BF1290"/>
    <w:rsid w:val="00BF216C"/>
    <w:rsid w:val="00BF302D"/>
    <w:rsid w:val="00BF3CB7"/>
    <w:rsid w:val="00BF4580"/>
    <w:rsid w:val="00BF479C"/>
    <w:rsid w:val="00BF4E61"/>
    <w:rsid w:val="00BF51C9"/>
    <w:rsid w:val="00BF5C4B"/>
    <w:rsid w:val="00BF5E6D"/>
    <w:rsid w:val="00BF6A3C"/>
    <w:rsid w:val="00BF7E6C"/>
    <w:rsid w:val="00C00538"/>
    <w:rsid w:val="00C005CC"/>
    <w:rsid w:val="00C01B08"/>
    <w:rsid w:val="00C01C2C"/>
    <w:rsid w:val="00C01C79"/>
    <w:rsid w:val="00C02862"/>
    <w:rsid w:val="00C030FD"/>
    <w:rsid w:val="00C0353E"/>
    <w:rsid w:val="00C03DB4"/>
    <w:rsid w:val="00C03F6F"/>
    <w:rsid w:val="00C10A89"/>
    <w:rsid w:val="00C10C1C"/>
    <w:rsid w:val="00C1131E"/>
    <w:rsid w:val="00C1149F"/>
    <w:rsid w:val="00C124D2"/>
    <w:rsid w:val="00C13C2D"/>
    <w:rsid w:val="00C1410D"/>
    <w:rsid w:val="00C141FB"/>
    <w:rsid w:val="00C1576C"/>
    <w:rsid w:val="00C162F6"/>
    <w:rsid w:val="00C163AB"/>
    <w:rsid w:val="00C16668"/>
    <w:rsid w:val="00C20916"/>
    <w:rsid w:val="00C20A19"/>
    <w:rsid w:val="00C218A4"/>
    <w:rsid w:val="00C21A02"/>
    <w:rsid w:val="00C21C4A"/>
    <w:rsid w:val="00C2214A"/>
    <w:rsid w:val="00C24AA7"/>
    <w:rsid w:val="00C25E1E"/>
    <w:rsid w:val="00C26362"/>
    <w:rsid w:val="00C264B6"/>
    <w:rsid w:val="00C26555"/>
    <w:rsid w:val="00C2786C"/>
    <w:rsid w:val="00C27AF1"/>
    <w:rsid w:val="00C27DA2"/>
    <w:rsid w:val="00C3151A"/>
    <w:rsid w:val="00C32378"/>
    <w:rsid w:val="00C32BF4"/>
    <w:rsid w:val="00C32DAB"/>
    <w:rsid w:val="00C344A9"/>
    <w:rsid w:val="00C34721"/>
    <w:rsid w:val="00C34E91"/>
    <w:rsid w:val="00C34FFF"/>
    <w:rsid w:val="00C356C0"/>
    <w:rsid w:val="00C35796"/>
    <w:rsid w:val="00C3587D"/>
    <w:rsid w:val="00C35DA4"/>
    <w:rsid w:val="00C35E30"/>
    <w:rsid w:val="00C36298"/>
    <w:rsid w:val="00C366D0"/>
    <w:rsid w:val="00C36F2B"/>
    <w:rsid w:val="00C41A21"/>
    <w:rsid w:val="00C43813"/>
    <w:rsid w:val="00C44255"/>
    <w:rsid w:val="00C445B9"/>
    <w:rsid w:val="00C448F1"/>
    <w:rsid w:val="00C45B65"/>
    <w:rsid w:val="00C46324"/>
    <w:rsid w:val="00C50367"/>
    <w:rsid w:val="00C51AD3"/>
    <w:rsid w:val="00C529A2"/>
    <w:rsid w:val="00C532B6"/>
    <w:rsid w:val="00C546F7"/>
    <w:rsid w:val="00C55973"/>
    <w:rsid w:val="00C55BF9"/>
    <w:rsid w:val="00C56236"/>
    <w:rsid w:val="00C56F19"/>
    <w:rsid w:val="00C56F26"/>
    <w:rsid w:val="00C571C7"/>
    <w:rsid w:val="00C574D9"/>
    <w:rsid w:val="00C575C4"/>
    <w:rsid w:val="00C579A8"/>
    <w:rsid w:val="00C615BB"/>
    <w:rsid w:val="00C6295B"/>
    <w:rsid w:val="00C63DCF"/>
    <w:rsid w:val="00C64042"/>
    <w:rsid w:val="00C64CDA"/>
    <w:rsid w:val="00C64E53"/>
    <w:rsid w:val="00C66088"/>
    <w:rsid w:val="00C6713E"/>
    <w:rsid w:val="00C67771"/>
    <w:rsid w:val="00C70FC3"/>
    <w:rsid w:val="00C71FDA"/>
    <w:rsid w:val="00C72088"/>
    <w:rsid w:val="00C734B3"/>
    <w:rsid w:val="00C73C4E"/>
    <w:rsid w:val="00C73C98"/>
    <w:rsid w:val="00C7411A"/>
    <w:rsid w:val="00C74E0A"/>
    <w:rsid w:val="00C75220"/>
    <w:rsid w:val="00C7760E"/>
    <w:rsid w:val="00C804B2"/>
    <w:rsid w:val="00C808B2"/>
    <w:rsid w:val="00C80B10"/>
    <w:rsid w:val="00C826D8"/>
    <w:rsid w:val="00C82B26"/>
    <w:rsid w:val="00C8315B"/>
    <w:rsid w:val="00C8422E"/>
    <w:rsid w:val="00C865D0"/>
    <w:rsid w:val="00C873F0"/>
    <w:rsid w:val="00C874C4"/>
    <w:rsid w:val="00C87DBC"/>
    <w:rsid w:val="00C87FF5"/>
    <w:rsid w:val="00C90136"/>
    <w:rsid w:val="00C90616"/>
    <w:rsid w:val="00C9155A"/>
    <w:rsid w:val="00C93887"/>
    <w:rsid w:val="00C93AF4"/>
    <w:rsid w:val="00C94E1F"/>
    <w:rsid w:val="00C95628"/>
    <w:rsid w:val="00C95A5E"/>
    <w:rsid w:val="00C95A72"/>
    <w:rsid w:val="00C964B5"/>
    <w:rsid w:val="00C964FC"/>
    <w:rsid w:val="00C973BA"/>
    <w:rsid w:val="00C979EF"/>
    <w:rsid w:val="00CA0815"/>
    <w:rsid w:val="00CA08FD"/>
    <w:rsid w:val="00CA1E8E"/>
    <w:rsid w:val="00CA490E"/>
    <w:rsid w:val="00CA52C4"/>
    <w:rsid w:val="00CA54DE"/>
    <w:rsid w:val="00CA638C"/>
    <w:rsid w:val="00CA67B4"/>
    <w:rsid w:val="00CA7112"/>
    <w:rsid w:val="00CA73CC"/>
    <w:rsid w:val="00CA76A6"/>
    <w:rsid w:val="00CB0297"/>
    <w:rsid w:val="00CB0D54"/>
    <w:rsid w:val="00CB1B8E"/>
    <w:rsid w:val="00CB2382"/>
    <w:rsid w:val="00CB2958"/>
    <w:rsid w:val="00CB3190"/>
    <w:rsid w:val="00CB391E"/>
    <w:rsid w:val="00CB3CD2"/>
    <w:rsid w:val="00CB3E5F"/>
    <w:rsid w:val="00CB6656"/>
    <w:rsid w:val="00CB6A55"/>
    <w:rsid w:val="00CB6DE5"/>
    <w:rsid w:val="00CC0089"/>
    <w:rsid w:val="00CC0988"/>
    <w:rsid w:val="00CC0ADA"/>
    <w:rsid w:val="00CC1569"/>
    <w:rsid w:val="00CC1BA3"/>
    <w:rsid w:val="00CC3B83"/>
    <w:rsid w:val="00CC3CE3"/>
    <w:rsid w:val="00CC4601"/>
    <w:rsid w:val="00CC6541"/>
    <w:rsid w:val="00CC70B4"/>
    <w:rsid w:val="00CC76FC"/>
    <w:rsid w:val="00CC7807"/>
    <w:rsid w:val="00CC789B"/>
    <w:rsid w:val="00CC7FF5"/>
    <w:rsid w:val="00CD086B"/>
    <w:rsid w:val="00CD1464"/>
    <w:rsid w:val="00CD276D"/>
    <w:rsid w:val="00CD4511"/>
    <w:rsid w:val="00CD4683"/>
    <w:rsid w:val="00CD5EB4"/>
    <w:rsid w:val="00CD5F39"/>
    <w:rsid w:val="00CD60B6"/>
    <w:rsid w:val="00CD66EC"/>
    <w:rsid w:val="00CD6F9C"/>
    <w:rsid w:val="00CD7569"/>
    <w:rsid w:val="00CD762F"/>
    <w:rsid w:val="00CD7C25"/>
    <w:rsid w:val="00CE0E19"/>
    <w:rsid w:val="00CE116A"/>
    <w:rsid w:val="00CE1A42"/>
    <w:rsid w:val="00CE1CBF"/>
    <w:rsid w:val="00CE2102"/>
    <w:rsid w:val="00CE42FF"/>
    <w:rsid w:val="00CE4E75"/>
    <w:rsid w:val="00CE52BC"/>
    <w:rsid w:val="00CE5BE7"/>
    <w:rsid w:val="00CE5EBD"/>
    <w:rsid w:val="00CE73CF"/>
    <w:rsid w:val="00CE7A3B"/>
    <w:rsid w:val="00CE7F68"/>
    <w:rsid w:val="00CF04F3"/>
    <w:rsid w:val="00CF0FA5"/>
    <w:rsid w:val="00CF11D4"/>
    <w:rsid w:val="00CF24BC"/>
    <w:rsid w:val="00CF26F5"/>
    <w:rsid w:val="00CF3746"/>
    <w:rsid w:val="00CF41E5"/>
    <w:rsid w:val="00CF4338"/>
    <w:rsid w:val="00CF4F33"/>
    <w:rsid w:val="00CF54E2"/>
    <w:rsid w:val="00CF597D"/>
    <w:rsid w:val="00CF6CE6"/>
    <w:rsid w:val="00D0079D"/>
    <w:rsid w:val="00D0095C"/>
    <w:rsid w:val="00D00C1B"/>
    <w:rsid w:val="00D02541"/>
    <w:rsid w:val="00D02D39"/>
    <w:rsid w:val="00D03F58"/>
    <w:rsid w:val="00D04744"/>
    <w:rsid w:val="00D05366"/>
    <w:rsid w:val="00D05A23"/>
    <w:rsid w:val="00D078D8"/>
    <w:rsid w:val="00D10332"/>
    <w:rsid w:val="00D10740"/>
    <w:rsid w:val="00D10877"/>
    <w:rsid w:val="00D12751"/>
    <w:rsid w:val="00D135CE"/>
    <w:rsid w:val="00D13C5C"/>
    <w:rsid w:val="00D13ECC"/>
    <w:rsid w:val="00D14A14"/>
    <w:rsid w:val="00D14C6D"/>
    <w:rsid w:val="00D14D8D"/>
    <w:rsid w:val="00D15973"/>
    <w:rsid w:val="00D168E6"/>
    <w:rsid w:val="00D16F2B"/>
    <w:rsid w:val="00D172D3"/>
    <w:rsid w:val="00D17A28"/>
    <w:rsid w:val="00D17A5A"/>
    <w:rsid w:val="00D218DC"/>
    <w:rsid w:val="00D23512"/>
    <w:rsid w:val="00D25354"/>
    <w:rsid w:val="00D2584E"/>
    <w:rsid w:val="00D25A79"/>
    <w:rsid w:val="00D25E86"/>
    <w:rsid w:val="00D26462"/>
    <w:rsid w:val="00D2665F"/>
    <w:rsid w:val="00D27A85"/>
    <w:rsid w:val="00D3003A"/>
    <w:rsid w:val="00D30317"/>
    <w:rsid w:val="00D31A7D"/>
    <w:rsid w:val="00D31FE7"/>
    <w:rsid w:val="00D3220D"/>
    <w:rsid w:val="00D33FBA"/>
    <w:rsid w:val="00D34391"/>
    <w:rsid w:val="00D34C12"/>
    <w:rsid w:val="00D3565A"/>
    <w:rsid w:val="00D35A79"/>
    <w:rsid w:val="00D35E96"/>
    <w:rsid w:val="00D35FDC"/>
    <w:rsid w:val="00D40097"/>
    <w:rsid w:val="00D401E0"/>
    <w:rsid w:val="00D40425"/>
    <w:rsid w:val="00D40CB7"/>
    <w:rsid w:val="00D40FEA"/>
    <w:rsid w:val="00D415C8"/>
    <w:rsid w:val="00D42244"/>
    <w:rsid w:val="00D423D9"/>
    <w:rsid w:val="00D43DDE"/>
    <w:rsid w:val="00D44123"/>
    <w:rsid w:val="00D442B0"/>
    <w:rsid w:val="00D444DF"/>
    <w:rsid w:val="00D44A35"/>
    <w:rsid w:val="00D44D85"/>
    <w:rsid w:val="00D4503D"/>
    <w:rsid w:val="00D45101"/>
    <w:rsid w:val="00D45358"/>
    <w:rsid w:val="00D45864"/>
    <w:rsid w:val="00D459DB"/>
    <w:rsid w:val="00D46674"/>
    <w:rsid w:val="00D466D7"/>
    <w:rsid w:val="00D4781F"/>
    <w:rsid w:val="00D47DED"/>
    <w:rsid w:val="00D50115"/>
    <w:rsid w:val="00D50394"/>
    <w:rsid w:val="00D50973"/>
    <w:rsid w:val="00D50F13"/>
    <w:rsid w:val="00D50F17"/>
    <w:rsid w:val="00D51E83"/>
    <w:rsid w:val="00D520A5"/>
    <w:rsid w:val="00D524D7"/>
    <w:rsid w:val="00D54B7E"/>
    <w:rsid w:val="00D5527D"/>
    <w:rsid w:val="00D55D79"/>
    <w:rsid w:val="00D55DAA"/>
    <w:rsid w:val="00D56E3B"/>
    <w:rsid w:val="00D57287"/>
    <w:rsid w:val="00D600EB"/>
    <w:rsid w:val="00D62F1E"/>
    <w:rsid w:val="00D63427"/>
    <w:rsid w:val="00D65386"/>
    <w:rsid w:val="00D65D65"/>
    <w:rsid w:val="00D66BF8"/>
    <w:rsid w:val="00D67FE1"/>
    <w:rsid w:val="00D701FB"/>
    <w:rsid w:val="00D702EE"/>
    <w:rsid w:val="00D70C79"/>
    <w:rsid w:val="00D71275"/>
    <w:rsid w:val="00D7136C"/>
    <w:rsid w:val="00D71911"/>
    <w:rsid w:val="00D71E3A"/>
    <w:rsid w:val="00D72011"/>
    <w:rsid w:val="00D727CD"/>
    <w:rsid w:val="00D73DD6"/>
    <w:rsid w:val="00D741ED"/>
    <w:rsid w:val="00D75186"/>
    <w:rsid w:val="00D75536"/>
    <w:rsid w:val="00D75677"/>
    <w:rsid w:val="00D75A95"/>
    <w:rsid w:val="00D75C0B"/>
    <w:rsid w:val="00D75C2C"/>
    <w:rsid w:val="00D76E6E"/>
    <w:rsid w:val="00D77302"/>
    <w:rsid w:val="00D77951"/>
    <w:rsid w:val="00D77AC1"/>
    <w:rsid w:val="00D80B65"/>
    <w:rsid w:val="00D82631"/>
    <w:rsid w:val="00D82E2D"/>
    <w:rsid w:val="00D831FE"/>
    <w:rsid w:val="00D83599"/>
    <w:rsid w:val="00D836E1"/>
    <w:rsid w:val="00D83B93"/>
    <w:rsid w:val="00D84503"/>
    <w:rsid w:val="00D84862"/>
    <w:rsid w:val="00D84D65"/>
    <w:rsid w:val="00D8653D"/>
    <w:rsid w:val="00D86581"/>
    <w:rsid w:val="00D866D6"/>
    <w:rsid w:val="00D86B7F"/>
    <w:rsid w:val="00D87B47"/>
    <w:rsid w:val="00D902B0"/>
    <w:rsid w:val="00D908FF"/>
    <w:rsid w:val="00D91215"/>
    <w:rsid w:val="00D91434"/>
    <w:rsid w:val="00D925B4"/>
    <w:rsid w:val="00D93C49"/>
    <w:rsid w:val="00D94876"/>
    <w:rsid w:val="00D95AE4"/>
    <w:rsid w:val="00D96307"/>
    <w:rsid w:val="00D963F7"/>
    <w:rsid w:val="00D9672B"/>
    <w:rsid w:val="00DA03AF"/>
    <w:rsid w:val="00DA16CC"/>
    <w:rsid w:val="00DA23EC"/>
    <w:rsid w:val="00DA3086"/>
    <w:rsid w:val="00DA3370"/>
    <w:rsid w:val="00DA35F9"/>
    <w:rsid w:val="00DA36BC"/>
    <w:rsid w:val="00DA4797"/>
    <w:rsid w:val="00DA4DA5"/>
    <w:rsid w:val="00DA585E"/>
    <w:rsid w:val="00DA59E4"/>
    <w:rsid w:val="00DA5F86"/>
    <w:rsid w:val="00DA6083"/>
    <w:rsid w:val="00DA649F"/>
    <w:rsid w:val="00DA7837"/>
    <w:rsid w:val="00DA7E32"/>
    <w:rsid w:val="00DB09D3"/>
    <w:rsid w:val="00DB0A52"/>
    <w:rsid w:val="00DB0A72"/>
    <w:rsid w:val="00DB0EFE"/>
    <w:rsid w:val="00DB2C75"/>
    <w:rsid w:val="00DB2E6C"/>
    <w:rsid w:val="00DB54D9"/>
    <w:rsid w:val="00DB5BCB"/>
    <w:rsid w:val="00DB5D14"/>
    <w:rsid w:val="00DB6957"/>
    <w:rsid w:val="00DB6EEE"/>
    <w:rsid w:val="00DB7360"/>
    <w:rsid w:val="00DB74D3"/>
    <w:rsid w:val="00DB750C"/>
    <w:rsid w:val="00DB7C1B"/>
    <w:rsid w:val="00DC0223"/>
    <w:rsid w:val="00DC087D"/>
    <w:rsid w:val="00DC0BBF"/>
    <w:rsid w:val="00DC1F6A"/>
    <w:rsid w:val="00DC3AA9"/>
    <w:rsid w:val="00DC4F6B"/>
    <w:rsid w:val="00DC78E8"/>
    <w:rsid w:val="00DC7A83"/>
    <w:rsid w:val="00DD0525"/>
    <w:rsid w:val="00DD0B5C"/>
    <w:rsid w:val="00DD22E5"/>
    <w:rsid w:val="00DD2516"/>
    <w:rsid w:val="00DD2E8E"/>
    <w:rsid w:val="00DD351E"/>
    <w:rsid w:val="00DD42E5"/>
    <w:rsid w:val="00DD4B93"/>
    <w:rsid w:val="00DD6404"/>
    <w:rsid w:val="00DD6E5B"/>
    <w:rsid w:val="00DD6ED4"/>
    <w:rsid w:val="00DD74F4"/>
    <w:rsid w:val="00DE05E8"/>
    <w:rsid w:val="00DE0916"/>
    <w:rsid w:val="00DE0BA5"/>
    <w:rsid w:val="00DE1018"/>
    <w:rsid w:val="00DE1353"/>
    <w:rsid w:val="00DE1A19"/>
    <w:rsid w:val="00DE1E02"/>
    <w:rsid w:val="00DE2286"/>
    <w:rsid w:val="00DE3CA7"/>
    <w:rsid w:val="00DE4316"/>
    <w:rsid w:val="00DE5774"/>
    <w:rsid w:val="00DE731B"/>
    <w:rsid w:val="00DE7498"/>
    <w:rsid w:val="00DF0966"/>
    <w:rsid w:val="00DF0AA9"/>
    <w:rsid w:val="00DF1FC2"/>
    <w:rsid w:val="00DF24CD"/>
    <w:rsid w:val="00DF2DB6"/>
    <w:rsid w:val="00DF3D17"/>
    <w:rsid w:val="00DF3EFC"/>
    <w:rsid w:val="00DF5065"/>
    <w:rsid w:val="00DF6131"/>
    <w:rsid w:val="00DF64B9"/>
    <w:rsid w:val="00DF67FC"/>
    <w:rsid w:val="00DF6CD4"/>
    <w:rsid w:val="00DF74F2"/>
    <w:rsid w:val="00DF7CAF"/>
    <w:rsid w:val="00E006DB"/>
    <w:rsid w:val="00E0108F"/>
    <w:rsid w:val="00E01A8E"/>
    <w:rsid w:val="00E0245D"/>
    <w:rsid w:val="00E02892"/>
    <w:rsid w:val="00E02E6A"/>
    <w:rsid w:val="00E02F2C"/>
    <w:rsid w:val="00E07BED"/>
    <w:rsid w:val="00E10C8E"/>
    <w:rsid w:val="00E113AF"/>
    <w:rsid w:val="00E11E39"/>
    <w:rsid w:val="00E128FB"/>
    <w:rsid w:val="00E136F0"/>
    <w:rsid w:val="00E13A57"/>
    <w:rsid w:val="00E15109"/>
    <w:rsid w:val="00E15AA4"/>
    <w:rsid w:val="00E15B3C"/>
    <w:rsid w:val="00E169FA"/>
    <w:rsid w:val="00E1748D"/>
    <w:rsid w:val="00E17916"/>
    <w:rsid w:val="00E20367"/>
    <w:rsid w:val="00E208E7"/>
    <w:rsid w:val="00E20AEE"/>
    <w:rsid w:val="00E21391"/>
    <w:rsid w:val="00E223FC"/>
    <w:rsid w:val="00E23AA8"/>
    <w:rsid w:val="00E23BFC"/>
    <w:rsid w:val="00E257EA"/>
    <w:rsid w:val="00E25BEF"/>
    <w:rsid w:val="00E264D4"/>
    <w:rsid w:val="00E27141"/>
    <w:rsid w:val="00E272E3"/>
    <w:rsid w:val="00E27318"/>
    <w:rsid w:val="00E27FEE"/>
    <w:rsid w:val="00E30B4E"/>
    <w:rsid w:val="00E31B48"/>
    <w:rsid w:val="00E32237"/>
    <w:rsid w:val="00E32AE5"/>
    <w:rsid w:val="00E333BB"/>
    <w:rsid w:val="00E33DAD"/>
    <w:rsid w:val="00E34AB6"/>
    <w:rsid w:val="00E34EB5"/>
    <w:rsid w:val="00E36A8F"/>
    <w:rsid w:val="00E37578"/>
    <w:rsid w:val="00E37BD9"/>
    <w:rsid w:val="00E414F3"/>
    <w:rsid w:val="00E41D15"/>
    <w:rsid w:val="00E424E5"/>
    <w:rsid w:val="00E43828"/>
    <w:rsid w:val="00E4400A"/>
    <w:rsid w:val="00E46368"/>
    <w:rsid w:val="00E46587"/>
    <w:rsid w:val="00E47DF5"/>
    <w:rsid w:val="00E47E36"/>
    <w:rsid w:val="00E501CC"/>
    <w:rsid w:val="00E51684"/>
    <w:rsid w:val="00E51AA0"/>
    <w:rsid w:val="00E51BF9"/>
    <w:rsid w:val="00E54043"/>
    <w:rsid w:val="00E54668"/>
    <w:rsid w:val="00E54FA6"/>
    <w:rsid w:val="00E55C32"/>
    <w:rsid w:val="00E564B2"/>
    <w:rsid w:val="00E56D5D"/>
    <w:rsid w:val="00E60C41"/>
    <w:rsid w:val="00E62A5A"/>
    <w:rsid w:val="00E632C9"/>
    <w:rsid w:val="00E64008"/>
    <w:rsid w:val="00E6450B"/>
    <w:rsid w:val="00E66410"/>
    <w:rsid w:val="00E66689"/>
    <w:rsid w:val="00E66CF0"/>
    <w:rsid w:val="00E70231"/>
    <w:rsid w:val="00E702E5"/>
    <w:rsid w:val="00E70B2F"/>
    <w:rsid w:val="00E70FFD"/>
    <w:rsid w:val="00E7222A"/>
    <w:rsid w:val="00E729DA"/>
    <w:rsid w:val="00E72DB8"/>
    <w:rsid w:val="00E73921"/>
    <w:rsid w:val="00E745CC"/>
    <w:rsid w:val="00E760B5"/>
    <w:rsid w:val="00E76D0E"/>
    <w:rsid w:val="00E77F1C"/>
    <w:rsid w:val="00E77F73"/>
    <w:rsid w:val="00E804B6"/>
    <w:rsid w:val="00E84B69"/>
    <w:rsid w:val="00E869CC"/>
    <w:rsid w:val="00E86E98"/>
    <w:rsid w:val="00E87BC4"/>
    <w:rsid w:val="00E906DE"/>
    <w:rsid w:val="00E90CCE"/>
    <w:rsid w:val="00E91405"/>
    <w:rsid w:val="00E91A47"/>
    <w:rsid w:val="00E91BF5"/>
    <w:rsid w:val="00E930FB"/>
    <w:rsid w:val="00E93337"/>
    <w:rsid w:val="00E93ECB"/>
    <w:rsid w:val="00E94558"/>
    <w:rsid w:val="00E94590"/>
    <w:rsid w:val="00E94B75"/>
    <w:rsid w:val="00E95D63"/>
    <w:rsid w:val="00E95D74"/>
    <w:rsid w:val="00E9634B"/>
    <w:rsid w:val="00E978EB"/>
    <w:rsid w:val="00E97E94"/>
    <w:rsid w:val="00EA0CD2"/>
    <w:rsid w:val="00EA133D"/>
    <w:rsid w:val="00EA143D"/>
    <w:rsid w:val="00EA1E54"/>
    <w:rsid w:val="00EA2BF7"/>
    <w:rsid w:val="00EA2D2B"/>
    <w:rsid w:val="00EA431A"/>
    <w:rsid w:val="00EA458F"/>
    <w:rsid w:val="00EA4D7B"/>
    <w:rsid w:val="00EA68BA"/>
    <w:rsid w:val="00EA6EDC"/>
    <w:rsid w:val="00EA7675"/>
    <w:rsid w:val="00EB1A5B"/>
    <w:rsid w:val="00EB2663"/>
    <w:rsid w:val="00EB2B6E"/>
    <w:rsid w:val="00EB3843"/>
    <w:rsid w:val="00EB4CDD"/>
    <w:rsid w:val="00EB5DBF"/>
    <w:rsid w:val="00EB61B0"/>
    <w:rsid w:val="00EB63B0"/>
    <w:rsid w:val="00EB7B43"/>
    <w:rsid w:val="00EC0845"/>
    <w:rsid w:val="00EC08E6"/>
    <w:rsid w:val="00EC0F45"/>
    <w:rsid w:val="00EC1A2E"/>
    <w:rsid w:val="00EC1D8C"/>
    <w:rsid w:val="00EC2F20"/>
    <w:rsid w:val="00EC3909"/>
    <w:rsid w:val="00EC6836"/>
    <w:rsid w:val="00EC6C2D"/>
    <w:rsid w:val="00EC79BE"/>
    <w:rsid w:val="00ED0270"/>
    <w:rsid w:val="00ED0B2C"/>
    <w:rsid w:val="00ED1230"/>
    <w:rsid w:val="00ED15CA"/>
    <w:rsid w:val="00ED1D0C"/>
    <w:rsid w:val="00ED3D62"/>
    <w:rsid w:val="00ED60DB"/>
    <w:rsid w:val="00ED79E1"/>
    <w:rsid w:val="00ED7E73"/>
    <w:rsid w:val="00EE0A18"/>
    <w:rsid w:val="00EE0AFE"/>
    <w:rsid w:val="00EE1AE3"/>
    <w:rsid w:val="00EE256A"/>
    <w:rsid w:val="00EE29AD"/>
    <w:rsid w:val="00EE2DD6"/>
    <w:rsid w:val="00EE31D9"/>
    <w:rsid w:val="00EE320E"/>
    <w:rsid w:val="00EE4D6D"/>
    <w:rsid w:val="00EE53A9"/>
    <w:rsid w:val="00EE55A4"/>
    <w:rsid w:val="00EE5E7D"/>
    <w:rsid w:val="00EE67E3"/>
    <w:rsid w:val="00EE6816"/>
    <w:rsid w:val="00EE6C4B"/>
    <w:rsid w:val="00EE7CE1"/>
    <w:rsid w:val="00EF03AF"/>
    <w:rsid w:val="00EF0AEC"/>
    <w:rsid w:val="00EF144F"/>
    <w:rsid w:val="00EF1504"/>
    <w:rsid w:val="00EF207F"/>
    <w:rsid w:val="00EF2AF2"/>
    <w:rsid w:val="00EF2FBF"/>
    <w:rsid w:val="00EF323F"/>
    <w:rsid w:val="00EF32F5"/>
    <w:rsid w:val="00EF34A9"/>
    <w:rsid w:val="00EF3C5B"/>
    <w:rsid w:val="00EF3D1F"/>
    <w:rsid w:val="00EF4050"/>
    <w:rsid w:val="00EF40C7"/>
    <w:rsid w:val="00EF492E"/>
    <w:rsid w:val="00EF4A17"/>
    <w:rsid w:val="00EF4A29"/>
    <w:rsid w:val="00EF6C17"/>
    <w:rsid w:val="00EF7E9C"/>
    <w:rsid w:val="00F004A8"/>
    <w:rsid w:val="00F005A0"/>
    <w:rsid w:val="00F02455"/>
    <w:rsid w:val="00F024E2"/>
    <w:rsid w:val="00F02C14"/>
    <w:rsid w:val="00F02E8A"/>
    <w:rsid w:val="00F03558"/>
    <w:rsid w:val="00F04524"/>
    <w:rsid w:val="00F073BB"/>
    <w:rsid w:val="00F07C78"/>
    <w:rsid w:val="00F102B6"/>
    <w:rsid w:val="00F10703"/>
    <w:rsid w:val="00F10DF7"/>
    <w:rsid w:val="00F1166C"/>
    <w:rsid w:val="00F11919"/>
    <w:rsid w:val="00F11B65"/>
    <w:rsid w:val="00F12190"/>
    <w:rsid w:val="00F1237F"/>
    <w:rsid w:val="00F1245E"/>
    <w:rsid w:val="00F143A1"/>
    <w:rsid w:val="00F146E9"/>
    <w:rsid w:val="00F14D52"/>
    <w:rsid w:val="00F16440"/>
    <w:rsid w:val="00F16A4E"/>
    <w:rsid w:val="00F174A7"/>
    <w:rsid w:val="00F208B6"/>
    <w:rsid w:val="00F20D05"/>
    <w:rsid w:val="00F2122A"/>
    <w:rsid w:val="00F2217E"/>
    <w:rsid w:val="00F223C7"/>
    <w:rsid w:val="00F231FB"/>
    <w:rsid w:val="00F23BF6"/>
    <w:rsid w:val="00F245D9"/>
    <w:rsid w:val="00F24D95"/>
    <w:rsid w:val="00F24E4A"/>
    <w:rsid w:val="00F272D9"/>
    <w:rsid w:val="00F277D6"/>
    <w:rsid w:val="00F27DA5"/>
    <w:rsid w:val="00F27F3F"/>
    <w:rsid w:val="00F27F51"/>
    <w:rsid w:val="00F30017"/>
    <w:rsid w:val="00F30549"/>
    <w:rsid w:val="00F30F71"/>
    <w:rsid w:val="00F3265C"/>
    <w:rsid w:val="00F32968"/>
    <w:rsid w:val="00F338F8"/>
    <w:rsid w:val="00F33FAB"/>
    <w:rsid w:val="00F34890"/>
    <w:rsid w:val="00F35DD4"/>
    <w:rsid w:val="00F35E1D"/>
    <w:rsid w:val="00F36E63"/>
    <w:rsid w:val="00F37309"/>
    <w:rsid w:val="00F37E56"/>
    <w:rsid w:val="00F4226B"/>
    <w:rsid w:val="00F42B0F"/>
    <w:rsid w:val="00F42E6B"/>
    <w:rsid w:val="00F43F61"/>
    <w:rsid w:val="00F4423B"/>
    <w:rsid w:val="00F448C3"/>
    <w:rsid w:val="00F44DC8"/>
    <w:rsid w:val="00F453BD"/>
    <w:rsid w:val="00F45E06"/>
    <w:rsid w:val="00F46184"/>
    <w:rsid w:val="00F462CB"/>
    <w:rsid w:val="00F466FC"/>
    <w:rsid w:val="00F46FD5"/>
    <w:rsid w:val="00F477FF"/>
    <w:rsid w:val="00F47BB6"/>
    <w:rsid w:val="00F50CD6"/>
    <w:rsid w:val="00F51035"/>
    <w:rsid w:val="00F513F9"/>
    <w:rsid w:val="00F518CE"/>
    <w:rsid w:val="00F51AD2"/>
    <w:rsid w:val="00F51F54"/>
    <w:rsid w:val="00F5207C"/>
    <w:rsid w:val="00F54296"/>
    <w:rsid w:val="00F545D9"/>
    <w:rsid w:val="00F55560"/>
    <w:rsid w:val="00F56A9C"/>
    <w:rsid w:val="00F57869"/>
    <w:rsid w:val="00F60AF6"/>
    <w:rsid w:val="00F60F7F"/>
    <w:rsid w:val="00F616C4"/>
    <w:rsid w:val="00F6215C"/>
    <w:rsid w:val="00F62275"/>
    <w:rsid w:val="00F62518"/>
    <w:rsid w:val="00F62C66"/>
    <w:rsid w:val="00F62DB2"/>
    <w:rsid w:val="00F63032"/>
    <w:rsid w:val="00F63394"/>
    <w:rsid w:val="00F64528"/>
    <w:rsid w:val="00F64ADA"/>
    <w:rsid w:val="00F65462"/>
    <w:rsid w:val="00F66EF4"/>
    <w:rsid w:val="00F671F4"/>
    <w:rsid w:val="00F7051F"/>
    <w:rsid w:val="00F70D20"/>
    <w:rsid w:val="00F71547"/>
    <w:rsid w:val="00F71B54"/>
    <w:rsid w:val="00F71B60"/>
    <w:rsid w:val="00F730E2"/>
    <w:rsid w:val="00F7313D"/>
    <w:rsid w:val="00F73469"/>
    <w:rsid w:val="00F734E4"/>
    <w:rsid w:val="00F7359B"/>
    <w:rsid w:val="00F7365B"/>
    <w:rsid w:val="00F73EAE"/>
    <w:rsid w:val="00F75006"/>
    <w:rsid w:val="00F751D0"/>
    <w:rsid w:val="00F75D1C"/>
    <w:rsid w:val="00F76038"/>
    <w:rsid w:val="00F761E5"/>
    <w:rsid w:val="00F76428"/>
    <w:rsid w:val="00F76E87"/>
    <w:rsid w:val="00F8079D"/>
    <w:rsid w:val="00F817F8"/>
    <w:rsid w:val="00F81C50"/>
    <w:rsid w:val="00F82D34"/>
    <w:rsid w:val="00F82F6D"/>
    <w:rsid w:val="00F83035"/>
    <w:rsid w:val="00F845BD"/>
    <w:rsid w:val="00F8505E"/>
    <w:rsid w:val="00F8706B"/>
    <w:rsid w:val="00F91358"/>
    <w:rsid w:val="00F918D5"/>
    <w:rsid w:val="00F91D0A"/>
    <w:rsid w:val="00F92F30"/>
    <w:rsid w:val="00F936D9"/>
    <w:rsid w:val="00F93A75"/>
    <w:rsid w:val="00F93BAF"/>
    <w:rsid w:val="00F93C22"/>
    <w:rsid w:val="00F941FC"/>
    <w:rsid w:val="00F944B0"/>
    <w:rsid w:val="00F95446"/>
    <w:rsid w:val="00F96229"/>
    <w:rsid w:val="00F9693F"/>
    <w:rsid w:val="00F97567"/>
    <w:rsid w:val="00F97661"/>
    <w:rsid w:val="00F97AA0"/>
    <w:rsid w:val="00FA091E"/>
    <w:rsid w:val="00FA1853"/>
    <w:rsid w:val="00FA1D47"/>
    <w:rsid w:val="00FA20B3"/>
    <w:rsid w:val="00FA3063"/>
    <w:rsid w:val="00FA3FCF"/>
    <w:rsid w:val="00FA4F2E"/>
    <w:rsid w:val="00FA527B"/>
    <w:rsid w:val="00FA597F"/>
    <w:rsid w:val="00FA60E4"/>
    <w:rsid w:val="00FA73A4"/>
    <w:rsid w:val="00FA7621"/>
    <w:rsid w:val="00FA7666"/>
    <w:rsid w:val="00FB05EC"/>
    <w:rsid w:val="00FB2740"/>
    <w:rsid w:val="00FB2EE7"/>
    <w:rsid w:val="00FB3430"/>
    <w:rsid w:val="00FB3E39"/>
    <w:rsid w:val="00FB5E18"/>
    <w:rsid w:val="00FB670C"/>
    <w:rsid w:val="00FB677A"/>
    <w:rsid w:val="00FB6DD9"/>
    <w:rsid w:val="00FC0ED3"/>
    <w:rsid w:val="00FC1197"/>
    <w:rsid w:val="00FC1867"/>
    <w:rsid w:val="00FC23A8"/>
    <w:rsid w:val="00FC2AD5"/>
    <w:rsid w:val="00FC34A2"/>
    <w:rsid w:val="00FC356C"/>
    <w:rsid w:val="00FC37EC"/>
    <w:rsid w:val="00FC39B1"/>
    <w:rsid w:val="00FC4471"/>
    <w:rsid w:val="00FC4EE5"/>
    <w:rsid w:val="00FC51CC"/>
    <w:rsid w:val="00FC53AE"/>
    <w:rsid w:val="00FC5454"/>
    <w:rsid w:val="00FC641F"/>
    <w:rsid w:val="00FC6896"/>
    <w:rsid w:val="00FC6A48"/>
    <w:rsid w:val="00FC6B73"/>
    <w:rsid w:val="00FD0199"/>
    <w:rsid w:val="00FD0548"/>
    <w:rsid w:val="00FD06BA"/>
    <w:rsid w:val="00FD0A6B"/>
    <w:rsid w:val="00FD0E3F"/>
    <w:rsid w:val="00FD0F01"/>
    <w:rsid w:val="00FD13B6"/>
    <w:rsid w:val="00FD24D1"/>
    <w:rsid w:val="00FD2903"/>
    <w:rsid w:val="00FD2D6E"/>
    <w:rsid w:val="00FD345F"/>
    <w:rsid w:val="00FD34D3"/>
    <w:rsid w:val="00FD3893"/>
    <w:rsid w:val="00FD3A77"/>
    <w:rsid w:val="00FD3AE4"/>
    <w:rsid w:val="00FD3F73"/>
    <w:rsid w:val="00FD40F1"/>
    <w:rsid w:val="00FD52B3"/>
    <w:rsid w:val="00FD5506"/>
    <w:rsid w:val="00FD5B73"/>
    <w:rsid w:val="00FD68EA"/>
    <w:rsid w:val="00FD7194"/>
    <w:rsid w:val="00FD7F2D"/>
    <w:rsid w:val="00FE0829"/>
    <w:rsid w:val="00FE091B"/>
    <w:rsid w:val="00FE0E2A"/>
    <w:rsid w:val="00FE1774"/>
    <w:rsid w:val="00FE1B2B"/>
    <w:rsid w:val="00FE30BA"/>
    <w:rsid w:val="00FE3625"/>
    <w:rsid w:val="00FE4390"/>
    <w:rsid w:val="00FE5112"/>
    <w:rsid w:val="00FE623D"/>
    <w:rsid w:val="00FE6908"/>
    <w:rsid w:val="00FE759D"/>
    <w:rsid w:val="00FE7FC4"/>
    <w:rsid w:val="00FF034A"/>
    <w:rsid w:val="00FF15F8"/>
    <w:rsid w:val="00FF1867"/>
    <w:rsid w:val="00FF1FA8"/>
    <w:rsid w:val="00FF2158"/>
    <w:rsid w:val="00FF27D5"/>
    <w:rsid w:val="00FF2D3B"/>
    <w:rsid w:val="00FF2DC0"/>
    <w:rsid w:val="00FF31A1"/>
    <w:rsid w:val="00FF4C41"/>
    <w:rsid w:val="00FF558A"/>
    <w:rsid w:val="00FF6670"/>
    <w:rsid w:val="00FF67C3"/>
    <w:rsid w:val="00FF67CF"/>
    <w:rsid w:val="00FF7350"/>
    <w:rsid w:val="017715F9"/>
    <w:rsid w:val="019649A6"/>
    <w:rsid w:val="02001A0A"/>
    <w:rsid w:val="02CA483A"/>
    <w:rsid w:val="03797F07"/>
    <w:rsid w:val="03AD4585"/>
    <w:rsid w:val="03DB3ADC"/>
    <w:rsid w:val="03E00461"/>
    <w:rsid w:val="05332451"/>
    <w:rsid w:val="05BC668E"/>
    <w:rsid w:val="06CC04E7"/>
    <w:rsid w:val="07B35512"/>
    <w:rsid w:val="07C71CB5"/>
    <w:rsid w:val="07E06D3F"/>
    <w:rsid w:val="08334845"/>
    <w:rsid w:val="085E4C76"/>
    <w:rsid w:val="088E54CF"/>
    <w:rsid w:val="08B07394"/>
    <w:rsid w:val="08F402C0"/>
    <w:rsid w:val="092F7FF2"/>
    <w:rsid w:val="0A6F0963"/>
    <w:rsid w:val="0C3C7773"/>
    <w:rsid w:val="0CDE7FB3"/>
    <w:rsid w:val="0CDF15A0"/>
    <w:rsid w:val="0CF3469A"/>
    <w:rsid w:val="0DA23423"/>
    <w:rsid w:val="0DD92A52"/>
    <w:rsid w:val="0ED71AD6"/>
    <w:rsid w:val="0F823F06"/>
    <w:rsid w:val="10495372"/>
    <w:rsid w:val="10FF036E"/>
    <w:rsid w:val="11FA4000"/>
    <w:rsid w:val="136F4D18"/>
    <w:rsid w:val="13822E3F"/>
    <w:rsid w:val="144A0EA7"/>
    <w:rsid w:val="147F75E5"/>
    <w:rsid w:val="14AF3DCC"/>
    <w:rsid w:val="15110D05"/>
    <w:rsid w:val="15B143D8"/>
    <w:rsid w:val="15DA0704"/>
    <w:rsid w:val="165F0A61"/>
    <w:rsid w:val="17E61D07"/>
    <w:rsid w:val="17ED6ECA"/>
    <w:rsid w:val="185A5CB3"/>
    <w:rsid w:val="1938536E"/>
    <w:rsid w:val="19E05A7B"/>
    <w:rsid w:val="1A5D5805"/>
    <w:rsid w:val="1BC06413"/>
    <w:rsid w:val="1CEE35C8"/>
    <w:rsid w:val="1D2E49C9"/>
    <w:rsid w:val="1EAD547F"/>
    <w:rsid w:val="1F227689"/>
    <w:rsid w:val="1FF95442"/>
    <w:rsid w:val="21171014"/>
    <w:rsid w:val="22594138"/>
    <w:rsid w:val="23250B57"/>
    <w:rsid w:val="25076A10"/>
    <w:rsid w:val="25371D8A"/>
    <w:rsid w:val="26B042F3"/>
    <w:rsid w:val="27E16F8F"/>
    <w:rsid w:val="2A71566B"/>
    <w:rsid w:val="2A927C4A"/>
    <w:rsid w:val="2AAF3072"/>
    <w:rsid w:val="2B6C5CDC"/>
    <w:rsid w:val="2BF11EA2"/>
    <w:rsid w:val="2C1C6B96"/>
    <w:rsid w:val="2C581F6B"/>
    <w:rsid w:val="2C66794D"/>
    <w:rsid w:val="2C6B545B"/>
    <w:rsid w:val="2CA034CD"/>
    <w:rsid w:val="2D7C53E1"/>
    <w:rsid w:val="2EFE0E11"/>
    <w:rsid w:val="2F51697F"/>
    <w:rsid w:val="2F5918F0"/>
    <w:rsid w:val="320F1684"/>
    <w:rsid w:val="324E4F18"/>
    <w:rsid w:val="363F44C3"/>
    <w:rsid w:val="38814424"/>
    <w:rsid w:val="396D48A4"/>
    <w:rsid w:val="397765A5"/>
    <w:rsid w:val="39F36685"/>
    <w:rsid w:val="3A9F2A57"/>
    <w:rsid w:val="3AC96012"/>
    <w:rsid w:val="3B963B2E"/>
    <w:rsid w:val="3BF91A17"/>
    <w:rsid w:val="3DAC496D"/>
    <w:rsid w:val="40812A9D"/>
    <w:rsid w:val="41D510AA"/>
    <w:rsid w:val="4212218F"/>
    <w:rsid w:val="42A57908"/>
    <w:rsid w:val="437665D2"/>
    <w:rsid w:val="44723CD5"/>
    <w:rsid w:val="47C86DC5"/>
    <w:rsid w:val="48012BA6"/>
    <w:rsid w:val="49D914ED"/>
    <w:rsid w:val="4ADB08E1"/>
    <w:rsid w:val="4BDD3BEB"/>
    <w:rsid w:val="4DDC7814"/>
    <w:rsid w:val="4EB16B7D"/>
    <w:rsid w:val="4FFB39C9"/>
    <w:rsid w:val="507D11E2"/>
    <w:rsid w:val="50D95747"/>
    <w:rsid w:val="51EE0E47"/>
    <w:rsid w:val="51EF6ECE"/>
    <w:rsid w:val="51FF10D5"/>
    <w:rsid w:val="52881A27"/>
    <w:rsid w:val="53E205BF"/>
    <w:rsid w:val="5443040F"/>
    <w:rsid w:val="547D6029"/>
    <w:rsid w:val="56AD45D6"/>
    <w:rsid w:val="56B46ABA"/>
    <w:rsid w:val="58CC156D"/>
    <w:rsid w:val="5A5B6FF0"/>
    <w:rsid w:val="5C827371"/>
    <w:rsid w:val="5C8966DF"/>
    <w:rsid w:val="5CC76F92"/>
    <w:rsid w:val="5D8C1DA9"/>
    <w:rsid w:val="5E656CAA"/>
    <w:rsid w:val="5E691302"/>
    <w:rsid w:val="5E786F68"/>
    <w:rsid w:val="5F737FDF"/>
    <w:rsid w:val="60FB72C1"/>
    <w:rsid w:val="61401393"/>
    <w:rsid w:val="61FE2138"/>
    <w:rsid w:val="62456ADE"/>
    <w:rsid w:val="679F4EB2"/>
    <w:rsid w:val="67F221D3"/>
    <w:rsid w:val="684943AD"/>
    <w:rsid w:val="68504A97"/>
    <w:rsid w:val="68671660"/>
    <w:rsid w:val="687F20F0"/>
    <w:rsid w:val="6A8A64BB"/>
    <w:rsid w:val="6AAC73C6"/>
    <w:rsid w:val="6BAF6231"/>
    <w:rsid w:val="6C2F1974"/>
    <w:rsid w:val="6D95263A"/>
    <w:rsid w:val="6E982D97"/>
    <w:rsid w:val="6EC946A0"/>
    <w:rsid w:val="6FC20423"/>
    <w:rsid w:val="6FF15A51"/>
    <w:rsid w:val="70985D82"/>
    <w:rsid w:val="71D60C6B"/>
    <w:rsid w:val="726A1900"/>
    <w:rsid w:val="731C0390"/>
    <w:rsid w:val="73FB3BE1"/>
    <w:rsid w:val="73FB4806"/>
    <w:rsid w:val="75FB063E"/>
    <w:rsid w:val="766D5115"/>
    <w:rsid w:val="77487241"/>
    <w:rsid w:val="77803CD0"/>
    <w:rsid w:val="78A333BF"/>
    <w:rsid w:val="78AB7CA6"/>
    <w:rsid w:val="7A544342"/>
    <w:rsid w:val="7AAB081B"/>
    <w:rsid w:val="7B2E1B40"/>
    <w:rsid w:val="7C7D7F65"/>
    <w:rsid w:val="7D513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tabs>
        <w:tab w:val="left" w:pos="1440"/>
      </w:tabs>
      <w:adjustRightInd w:val="0"/>
      <w:spacing w:before="260" w:after="260" w:line="416" w:lineRule="atLeast"/>
      <w:ind w:left="1440" w:hanging="360"/>
      <w:textAlignment w:val="baseline"/>
      <w:outlineLvl w:val="1"/>
    </w:pPr>
    <w:rPr>
      <w:rFonts w:ascii="Arial" w:hAnsi="Arial" w:eastAsia="黑体"/>
      <w:b/>
      <w:kern w:val="0"/>
      <w:sz w:val="32"/>
      <w:szCs w:val="20"/>
    </w:rPr>
  </w:style>
  <w:style w:type="paragraph" w:styleId="5">
    <w:name w:val="heading 3"/>
    <w:basedOn w:val="1"/>
    <w:next w:val="6"/>
    <w:link w:val="64"/>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spacing w:before="60" w:after="60" w:line="360" w:lineRule="auto"/>
      <w:outlineLvl w:val="3"/>
    </w:pPr>
    <w:rPr>
      <w:b/>
      <w:bCs/>
      <w:sz w:val="24"/>
    </w:rPr>
  </w:style>
  <w:style w:type="paragraph" w:styleId="8">
    <w:name w:val="heading 5"/>
    <w:basedOn w:val="1"/>
    <w:next w:val="1"/>
    <w:link w:val="67"/>
    <w:qFormat/>
    <w:uiPriority w:val="0"/>
    <w:pPr>
      <w:keepNext/>
      <w:keepLines/>
      <w:spacing w:before="280" w:after="290" w:line="374" w:lineRule="auto"/>
      <w:outlineLvl w:val="4"/>
    </w:pPr>
    <w:rPr>
      <w:rFonts w:ascii="Times New Roman" w:hAnsi="Times New Roman"/>
      <w:b/>
      <w:bCs/>
      <w:sz w:val="28"/>
      <w:szCs w:val="28"/>
    </w:rPr>
  </w:style>
  <w:style w:type="paragraph" w:styleId="9">
    <w:name w:val="heading 6"/>
    <w:basedOn w:val="1"/>
    <w:next w:val="1"/>
    <w:link w:val="68"/>
    <w:qFormat/>
    <w:uiPriority w:val="0"/>
    <w:pPr>
      <w:keepNext/>
      <w:keepLines/>
      <w:widowControl/>
      <w:tabs>
        <w:tab w:val="left" w:pos="1152"/>
      </w:tabs>
      <w:spacing w:before="240" w:after="64" w:line="317" w:lineRule="auto"/>
      <w:ind w:left="1152" w:hanging="1152"/>
      <w:jc w:val="left"/>
      <w:outlineLvl w:val="5"/>
    </w:pPr>
    <w:rPr>
      <w:rFonts w:ascii="Arial" w:hAnsi="Arial" w:eastAsia="黑体"/>
      <w:b/>
      <w:bCs/>
      <w:kern w:val="0"/>
      <w:sz w:val="24"/>
    </w:rPr>
  </w:style>
  <w:style w:type="paragraph" w:styleId="10">
    <w:name w:val="heading 7"/>
    <w:basedOn w:val="1"/>
    <w:next w:val="1"/>
    <w:link w:val="69"/>
    <w:qFormat/>
    <w:uiPriority w:val="0"/>
    <w:pPr>
      <w:keepNext/>
      <w:keepLines/>
      <w:widowControl/>
      <w:tabs>
        <w:tab w:val="left" w:pos="1296"/>
      </w:tabs>
      <w:spacing w:before="240" w:after="64" w:line="317" w:lineRule="auto"/>
      <w:ind w:left="1296" w:hanging="1296"/>
      <w:jc w:val="left"/>
      <w:outlineLvl w:val="6"/>
    </w:pPr>
    <w:rPr>
      <w:rFonts w:ascii="Times New Roman" w:hAnsi="Times New Roman"/>
      <w:b/>
      <w:bCs/>
      <w:kern w:val="0"/>
      <w:sz w:val="24"/>
    </w:rPr>
  </w:style>
  <w:style w:type="paragraph" w:styleId="11">
    <w:name w:val="heading 8"/>
    <w:basedOn w:val="1"/>
    <w:next w:val="1"/>
    <w:link w:val="70"/>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2">
    <w:name w:val="heading 9"/>
    <w:basedOn w:val="1"/>
    <w:next w:val="1"/>
    <w:link w:val="7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53">
    <w:name w:val="Default Paragraph Font"/>
    <w:unhideWhenUsed/>
    <w:qFormat/>
    <w:uiPriority w:val="1"/>
  </w:style>
  <w:style w:type="table" w:default="1" w:styleId="51">
    <w:name w:val="Normal Table"/>
    <w:unhideWhenUsed/>
    <w:qFormat/>
    <w:uiPriority w:val="99"/>
    <w:tblPr>
      <w:tblStyle w:val="51"/>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Body Text"/>
    <w:basedOn w:val="1"/>
    <w:link w:val="65"/>
    <w:unhideWhenUsed/>
    <w:qFormat/>
    <w:uiPriority w:val="0"/>
    <w:pPr>
      <w:spacing w:after="120"/>
    </w:pPr>
  </w:style>
  <w:style w:type="paragraph" w:styleId="13">
    <w:name w:val="toc 7"/>
    <w:basedOn w:val="1"/>
    <w:next w:val="1"/>
    <w:qFormat/>
    <w:uiPriority w:val="39"/>
    <w:pPr>
      <w:ind w:left="2520" w:leftChars="1200"/>
    </w:pPr>
    <w:rPr>
      <w:rFonts w:ascii="Times New Roman" w:hAnsi="Times New Roman"/>
    </w:rPr>
  </w:style>
  <w:style w:type="paragraph" w:styleId="14">
    <w:name w:val="List Bullet 4"/>
    <w:basedOn w:val="1"/>
    <w:qFormat/>
    <w:uiPriority w:val="0"/>
    <w:pPr>
      <w:tabs>
        <w:tab w:val="left" w:pos="1620"/>
      </w:tabs>
      <w:ind w:left="1620" w:hanging="360"/>
    </w:pPr>
    <w:rPr>
      <w:rFonts w:ascii="Times New Roman" w:hAnsi="Times New Roman"/>
    </w:rPr>
  </w:style>
  <w:style w:type="paragraph" w:styleId="15">
    <w:name w:val="index 8"/>
    <w:basedOn w:val="1"/>
    <w:next w:val="1"/>
    <w:qFormat/>
    <w:uiPriority w:val="0"/>
    <w:pPr>
      <w:ind w:left="1400" w:leftChars="1400"/>
    </w:pPr>
    <w:rPr>
      <w:rFonts w:ascii="Times New Roman" w:hAnsi="Times New Roman"/>
    </w:rPr>
  </w:style>
  <w:style w:type="paragraph" w:styleId="16">
    <w:name w:val="Normal Indent"/>
    <w:basedOn w:val="1"/>
    <w:link w:val="72"/>
    <w:qFormat/>
    <w:uiPriority w:val="0"/>
    <w:pPr>
      <w:ind w:firstLine="420" w:firstLineChars="200"/>
    </w:pPr>
    <w:rPr>
      <w:rFonts w:ascii="Times New Roman" w:hAnsi="Times New Roman"/>
    </w:rPr>
  </w:style>
  <w:style w:type="paragraph" w:styleId="17">
    <w:name w:val="caption"/>
    <w:basedOn w:val="1"/>
    <w:next w:val="1"/>
    <w:qFormat/>
    <w:uiPriority w:val="0"/>
    <w:pPr>
      <w:spacing w:before="152" w:after="160" w:line="360" w:lineRule="auto"/>
    </w:pPr>
    <w:rPr>
      <w:rFonts w:ascii="Arial" w:hAnsi="Arial" w:eastAsia="黑体" w:cs="Arial"/>
      <w:sz w:val="20"/>
      <w:szCs w:val="20"/>
    </w:rPr>
  </w:style>
  <w:style w:type="paragraph" w:styleId="18">
    <w:name w:val="Document Map"/>
    <w:basedOn w:val="1"/>
    <w:link w:val="73"/>
    <w:unhideWhenUsed/>
    <w:qFormat/>
    <w:uiPriority w:val="0"/>
    <w:rPr>
      <w:rFonts w:ascii="宋体"/>
      <w:sz w:val="18"/>
      <w:szCs w:val="18"/>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74"/>
    <w:unhideWhenUsed/>
    <w:qFormat/>
    <w:uiPriority w:val="0"/>
    <w:pPr>
      <w:jc w:val="left"/>
    </w:pPr>
  </w:style>
  <w:style w:type="paragraph" w:styleId="21">
    <w:name w:val="Body Text 3"/>
    <w:basedOn w:val="1"/>
    <w:link w:val="75"/>
    <w:qFormat/>
    <w:uiPriority w:val="0"/>
    <w:pPr>
      <w:spacing w:after="120"/>
    </w:pPr>
    <w:rPr>
      <w:rFonts w:ascii="Times New Roman" w:hAnsi="Times New Roman" w:eastAsia="宋体" w:cs="Times New Roman"/>
      <w:sz w:val="16"/>
      <w:szCs w:val="16"/>
    </w:rPr>
  </w:style>
  <w:style w:type="paragraph" w:styleId="22">
    <w:name w:val="Body Text Indent"/>
    <w:basedOn w:val="1"/>
    <w:link w:val="76"/>
    <w:qFormat/>
    <w:uiPriority w:val="0"/>
    <w:pPr>
      <w:spacing w:after="120"/>
      <w:ind w:left="420" w:leftChars="200"/>
    </w:pPr>
    <w:rPr>
      <w:rFonts w:ascii="Times New Roman" w:hAnsi="Times New Roman" w:eastAsia="宋体" w:cs="Times New Roman"/>
      <w:kern w:val="0"/>
      <w:sz w:val="20"/>
    </w:rPr>
  </w:style>
  <w:style w:type="paragraph" w:styleId="23">
    <w:name w:val="toc 5"/>
    <w:basedOn w:val="1"/>
    <w:next w:val="1"/>
    <w:unhideWhenUsed/>
    <w:qFormat/>
    <w:uiPriority w:val="39"/>
    <w:pPr>
      <w:ind w:left="1680" w:leftChars="800"/>
    </w:pPr>
    <w:rPr>
      <w:szCs w:val="22"/>
    </w:rPr>
  </w:style>
  <w:style w:type="paragraph" w:styleId="2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5">
    <w:name w:val="Plain Text"/>
    <w:basedOn w:val="1"/>
    <w:link w:val="77"/>
    <w:qFormat/>
    <w:uiPriority w:val="0"/>
    <w:rPr>
      <w:rFonts w:ascii="宋体" w:hAnsi="Courier New" w:cs="Times New Roman"/>
      <w:szCs w:val="22"/>
    </w:rPr>
  </w:style>
  <w:style w:type="paragraph" w:styleId="26">
    <w:name w:val="toc 8"/>
    <w:basedOn w:val="1"/>
    <w:next w:val="1"/>
    <w:unhideWhenUsed/>
    <w:qFormat/>
    <w:uiPriority w:val="39"/>
    <w:pPr>
      <w:ind w:left="2940" w:leftChars="1400"/>
    </w:pPr>
    <w:rPr>
      <w:szCs w:val="22"/>
    </w:rPr>
  </w:style>
  <w:style w:type="paragraph" w:styleId="27">
    <w:name w:val="Date"/>
    <w:basedOn w:val="1"/>
    <w:next w:val="1"/>
    <w:link w:val="78"/>
    <w:qFormat/>
    <w:uiPriority w:val="99"/>
    <w:pPr>
      <w:autoSpaceDE w:val="0"/>
      <w:autoSpaceDN w:val="0"/>
      <w:adjustRightInd w:val="0"/>
    </w:pPr>
    <w:rPr>
      <w:rFonts w:ascii="宋体" w:hAnsi="Times New Roman"/>
      <w:sz w:val="28"/>
    </w:rPr>
  </w:style>
  <w:style w:type="paragraph" w:styleId="28">
    <w:name w:val="Body Text Indent 2"/>
    <w:basedOn w:val="1"/>
    <w:link w:val="79"/>
    <w:unhideWhenUsed/>
    <w:qFormat/>
    <w:uiPriority w:val="0"/>
    <w:pPr>
      <w:spacing w:after="120" w:line="480" w:lineRule="auto"/>
      <w:ind w:left="420" w:leftChars="200"/>
    </w:pPr>
  </w:style>
  <w:style w:type="paragraph" w:styleId="29">
    <w:name w:val="endnote text"/>
    <w:basedOn w:val="1"/>
    <w:link w:val="80"/>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0">
    <w:name w:val="Balloon Text"/>
    <w:basedOn w:val="1"/>
    <w:link w:val="81"/>
    <w:unhideWhenUsed/>
    <w:qFormat/>
    <w:uiPriority w:val="0"/>
    <w:rPr>
      <w:sz w:val="18"/>
      <w:szCs w:val="18"/>
    </w:rPr>
  </w:style>
  <w:style w:type="paragraph" w:styleId="31">
    <w:name w:val="footer"/>
    <w:basedOn w:val="1"/>
    <w:link w:val="82"/>
    <w:unhideWhenUsed/>
    <w:qFormat/>
    <w:uiPriority w:val="99"/>
    <w:pPr>
      <w:tabs>
        <w:tab w:val="center" w:pos="4153"/>
        <w:tab w:val="right" w:pos="8306"/>
      </w:tabs>
      <w:snapToGrid w:val="0"/>
      <w:jc w:val="left"/>
    </w:pPr>
    <w:rPr>
      <w:sz w:val="18"/>
      <w:szCs w:val="18"/>
    </w:rPr>
  </w:style>
  <w:style w:type="paragraph" w:styleId="32">
    <w:name w:val="header"/>
    <w:basedOn w:val="1"/>
    <w:link w:val="83"/>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rPr>
      <w:rFonts w:ascii="Times New Roman" w:hAnsi="Times New Roman"/>
    </w:rPr>
  </w:style>
  <w:style w:type="paragraph" w:styleId="34">
    <w:name w:val="toc 4"/>
    <w:basedOn w:val="1"/>
    <w:next w:val="1"/>
    <w:unhideWhenUsed/>
    <w:qFormat/>
    <w:uiPriority w:val="39"/>
    <w:pPr>
      <w:ind w:left="1260" w:leftChars="600"/>
    </w:pPr>
    <w:rPr>
      <w:szCs w:val="22"/>
    </w:rPr>
  </w:style>
  <w:style w:type="paragraph" w:styleId="35">
    <w:name w:val="index heading"/>
    <w:basedOn w:val="1"/>
    <w:next w:val="36"/>
    <w:qFormat/>
    <w:uiPriority w:val="0"/>
    <w:rPr>
      <w:rFonts w:ascii="Times New Roman" w:hAnsi="Times New Roman"/>
      <w:szCs w:val="20"/>
    </w:rPr>
  </w:style>
  <w:style w:type="paragraph" w:styleId="36">
    <w:name w:val="index 1"/>
    <w:basedOn w:val="1"/>
    <w:next w:val="1"/>
    <w:qFormat/>
    <w:uiPriority w:val="0"/>
    <w:rPr>
      <w:rFonts w:ascii="Times New Roman" w:hAnsi="Times New Roman"/>
    </w:rPr>
  </w:style>
  <w:style w:type="paragraph" w:styleId="37">
    <w:name w:val="List"/>
    <w:basedOn w:val="1"/>
    <w:qFormat/>
    <w:uiPriority w:val="0"/>
    <w:pPr>
      <w:adjustRightInd w:val="0"/>
      <w:spacing w:line="300" w:lineRule="auto"/>
      <w:ind w:left="420" w:hanging="420" w:firstLineChars="200"/>
      <w:textAlignment w:val="baseline"/>
    </w:pPr>
    <w:rPr>
      <w:rFonts w:ascii="Times New Roman" w:hAnsi="Times New Roman"/>
      <w:kern w:val="0"/>
      <w:sz w:val="24"/>
      <w:szCs w:val="20"/>
    </w:rPr>
  </w:style>
  <w:style w:type="paragraph" w:styleId="38">
    <w:name w:val="footnote text"/>
    <w:basedOn w:val="1"/>
    <w:link w:val="84"/>
    <w:qFormat/>
    <w:uiPriority w:val="0"/>
    <w:pPr>
      <w:snapToGrid w:val="0"/>
      <w:jc w:val="left"/>
    </w:pPr>
    <w:rPr>
      <w:rFonts w:eastAsia="宋体"/>
      <w:sz w:val="18"/>
      <w:szCs w:val="18"/>
    </w:rPr>
  </w:style>
  <w:style w:type="paragraph" w:styleId="39">
    <w:name w:val="toc 6"/>
    <w:basedOn w:val="1"/>
    <w:next w:val="1"/>
    <w:unhideWhenUsed/>
    <w:qFormat/>
    <w:uiPriority w:val="39"/>
    <w:pPr>
      <w:ind w:left="2100" w:leftChars="1000"/>
    </w:pPr>
    <w:rPr>
      <w:szCs w:val="22"/>
    </w:rPr>
  </w:style>
  <w:style w:type="paragraph" w:styleId="40">
    <w:name w:val="Body Text Indent 3"/>
    <w:basedOn w:val="1"/>
    <w:link w:val="85"/>
    <w:qFormat/>
    <w:uiPriority w:val="0"/>
    <w:pPr>
      <w:spacing w:after="120"/>
      <w:ind w:left="420" w:leftChars="200"/>
    </w:pPr>
    <w:rPr>
      <w:sz w:val="16"/>
      <w:szCs w:val="16"/>
    </w:rPr>
  </w:style>
  <w:style w:type="paragraph" w:styleId="41">
    <w:name w:val="table of figures"/>
    <w:basedOn w:val="24"/>
    <w:next w:val="1"/>
    <w:qFormat/>
    <w:uiPriority w:val="0"/>
    <w:pPr>
      <w:widowControl w:val="0"/>
      <w:spacing w:after="0" w:line="360" w:lineRule="auto"/>
      <w:ind w:left="0" w:hanging="420"/>
    </w:pPr>
    <w:rPr>
      <w:rFonts w:ascii="Times New Roman" w:hAnsi="Times New Roman" w:eastAsia="宋体" w:cs="Times New Roman"/>
      <w:iCs/>
      <w:kern w:val="2"/>
      <w:sz w:val="24"/>
      <w:szCs w:val="24"/>
    </w:rPr>
  </w:style>
  <w:style w:type="paragraph" w:styleId="4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43">
    <w:name w:val="toc 9"/>
    <w:basedOn w:val="1"/>
    <w:next w:val="1"/>
    <w:unhideWhenUsed/>
    <w:qFormat/>
    <w:uiPriority w:val="39"/>
    <w:pPr>
      <w:ind w:left="3360" w:leftChars="1600"/>
    </w:pPr>
    <w:rPr>
      <w:szCs w:val="22"/>
    </w:rPr>
  </w:style>
  <w:style w:type="paragraph" w:styleId="44">
    <w:name w:val="Body Text 2"/>
    <w:basedOn w:val="1"/>
    <w:link w:val="86"/>
    <w:qFormat/>
    <w:uiPriority w:val="0"/>
    <w:pPr>
      <w:spacing w:line="360" w:lineRule="auto"/>
      <w:jc w:val="left"/>
    </w:pPr>
    <w:rPr>
      <w:rFonts w:ascii="Times New Roman" w:hAnsi="Times New Roman" w:eastAsia="宋体" w:cs="Times New Roman"/>
      <w:b/>
      <w:bCs/>
      <w:szCs w:val="21"/>
    </w:rPr>
  </w:style>
  <w:style w:type="paragraph" w:styleId="45">
    <w:name w:val="HTML Preformatted"/>
    <w:basedOn w:val="1"/>
    <w:link w:val="8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46">
    <w:name w:val="Normal (Web)"/>
    <w:basedOn w:val="1"/>
    <w:link w:val="88"/>
    <w:qFormat/>
    <w:uiPriority w:val="0"/>
    <w:pPr>
      <w:widowControl/>
      <w:spacing w:before="100" w:beforeAutospacing="1" w:after="100" w:afterAutospacing="1"/>
      <w:jc w:val="left"/>
    </w:pPr>
    <w:rPr>
      <w:rFonts w:ascii="宋体" w:hAnsi="宋体"/>
      <w:kern w:val="0"/>
      <w:sz w:val="15"/>
      <w:szCs w:val="15"/>
    </w:rPr>
  </w:style>
  <w:style w:type="paragraph" w:styleId="47">
    <w:name w:val="Title"/>
    <w:basedOn w:val="1"/>
    <w:link w:val="89"/>
    <w:qFormat/>
    <w:uiPriority w:val="0"/>
    <w:pPr>
      <w:tabs>
        <w:tab w:val="left" w:pos="420"/>
      </w:tabs>
      <w:adjustRightInd w:val="0"/>
      <w:spacing w:before="120" w:line="360" w:lineRule="auto"/>
      <w:ind w:left="420" w:hanging="420"/>
      <w:textAlignment w:val="baseline"/>
    </w:pPr>
    <w:rPr>
      <w:rFonts w:ascii="Calibri" w:hAnsi="Calibri" w:eastAsia="隶书_GB2312" w:cs="Times New Roman"/>
      <w:b/>
      <w:kern w:val="0"/>
      <w:sz w:val="48"/>
      <w:szCs w:val="20"/>
    </w:rPr>
  </w:style>
  <w:style w:type="paragraph" w:styleId="48">
    <w:name w:val="annotation subject"/>
    <w:basedOn w:val="20"/>
    <w:next w:val="20"/>
    <w:link w:val="90"/>
    <w:unhideWhenUsed/>
    <w:qFormat/>
    <w:uiPriority w:val="99"/>
    <w:rPr>
      <w:b/>
      <w:bCs/>
    </w:rPr>
  </w:style>
  <w:style w:type="paragraph" w:styleId="49">
    <w:name w:val="Body Text First Indent"/>
    <w:basedOn w:val="6"/>
    <w:link w:val="91"/>
    <w:qFormat/>
    <w:uiPriority w:val="0"/>
    <w:pPr>
      <w:ind w:firstLine="420" w:firstLineChars="100"/>
    </w:pPr>
    <w:rPr>
      <w:rFonts w:ascii="宋体" w:hAnsi="Times New Roman"/>
    </w:rPr>
  </w:style>
  <w:style w:type="paragraph" w:styleId="50">
    <w:name w:val="Body Text First Indent 2"/>
    <w:basedOn w:val="22"/>
    <w:link w:val="92"/>
    <w:qFormat/>
    <w:uiPriority w:val="0"/>
    <w:pPr>
      <w:snapToGrid w:val="0"/>
      <w:spacing w:line="360" w:lineRule="auto"/>
      <w:ind w:left="0" w:leftChars="0" w:firstLine="420" w:firstLineChars="200"/>
    </w:pPr>
    <w:rPr>
      <w:rFonts w:ascii="Tahoma" w:hAnsi="Tahoma" w:eastAsia="宋体"/>
      <w:sz w:val="28"/>
    </w:rPr>
  </w:style>
  <w:style w:type="table" w:styleId="52">
    <w:name w:val="Table Grid"/>
    <w:basedOn w:val="51"/>
    <w:qFormat/>
    <w:uiPriority w:val="59"/>
    <w:tblPr>
      <w:tblStyle w:val="5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basedOn w:val="53"/>
    <w:qFormat/>
    <w:uiPriority w:val="0"/>
    <w:rPr>
      <w:i/>
      <w:iCs/>
    </w:rPr>
  </w:style>
  <w:style w:type="character" w:styleId="58">
    <w:name w:val="HTML Typewriter"/>
    <w:qFormat/>
    <w:uiPriority w:val="0"/>
    <w:rPr>
      <w:rFonts w:ascii="宋体" w:hAnsi="宋体" w:eastAsia="宋体" w:cs="宋体"/>
      <w:sz w:val="24"/>
      <w:szCs w:val="24"/>
    </w:rPr>
  </w:style>
  <w:style w:type="character" w:styleId="59">
    <w:name w:val="Hyperlink"/>
    <w:basedOn w:val="53"/>
    <w:unhideWhenUsed/>
    <w:qFormat/>
    <w:uiPriority w:val="99"/>
    <w:rPr>
      <w:color w:val="0000FF"/>
      <w:u w:val="single"/>
    </w:rPr>
  </w:style>
  <w:style w:type="character" w:styleId="60">
    <w:name w:val="annotation reference"/>
    <w:qFormat/>
    <w:uiPriority w:val="0"/>
    <w:rPr>
      <w:rFonts w:ascii="Verdana" w:hAnsi="Verdana" w:eastAsia="仿宋_GB2312"/>
      <w:kern w:val="0"/>
      <w:sz w:val="21"/>
      <w:szCs w:val="21"/>
      <w:lang w:eastAsia="en-US"/>
    </w:rPr>
  </w:style>
  <w:style w:type="character" w:styleId="61">
    <w:name w:val="footnote reference"/>
    <w:qFormat/>
    <w:uiPriority w:val="0"/>
    <w:rPr>
      <w:vertAlign w:val="superscript"/>
    </w:rPr>
  </w:style>
  <w:style w:type="character" w:customStyle="1" w:styleId="62">
    <w:name w:val="标题 1 字符"/>
    <w:basedOn w:val="53"/>
    <w:link w:val="3"/>
    <w:qFormat/>
    <w:uiPriority w:val="0"/>
    <w:rPr>
      <w:rFonts w:ascii="Calibri" w:hAnsi="Calibri" w:eastAsia="宋体" w:cs="Times New Roman"/>
      <w:b/>
      <w:bCs/>
      <w:kern w:val="44"/>
      <w:sz w:val="44"/>
      <w:szCs w:val="44"/>
    </w:rPr>
  </w:style>
  <w:style w:type="character" w:customStyle="1" w:styleId="63">
    <w:name w:val="标题 2 字符"/>
    <w:basedOn w:val="53"/>
    <w:link w:val="4"/>
    <w:qFormat/>
    <w:uiPriority w:val="0"/>
    <w:rPr>
      <w:rFonts w:ascii="Arial" w:hAnsi="Arial" w:eastAsia="黑体" w:cs="Times New Roman"/>
      <w:b/>
      <w:kern w:val="0"/>
      <w:sz w:val="32"/>
      <w:szCs w:val="20"/>
    </w:rPr>
  </w:style>
  <w:style w:type="character" w:customStyle="1" w:styleId="64">
    <w:name w:val="标题 3 字符"/>
    <w:basedOn w:val="53"/>
    <w:link w:val="5"/>
    <w:qFormat/>
    <w:uiPriority w:val="0"/>
    <w:rPr>
      <w:rFonts w:ascii="Calibri" w:hAnsi="Calibri" w:eastAsia="宋体" w:cs="Times New Roman"/>
      <w:b/>
      <w:bCs/>
      <w:sz w:val="32"/>
      <w:szCs w:val="32"/>
    </w:rPr>
  </w:style>
  <w:style w:type="character" w:customStyle="1" w:styleId="65">
    <w:name w:val="正文文本 字符"/>
    <w:basedOn w:val="53"/>
    <w:link w:val="6"/>
    <w:qFormat/>
    <w:uiPriority w:val="0"/>
    <w:rPr>
      <w:rFonts w:ascii="Calibri" w:hAnsi="Calibri" w:eastAsia="宋体" w:cs="Times New Roman"/>
      <w:szCs w:val="24"/>
    </w:rPr>
  </w:style>
  <w:style w:type="character" w:customStyle="1" w:styleId="66">
    <w:name w:val="标题 4 字符"/>
    <w:basedOn w:val="53"/>
    <w:link w:val="7"/>
    <w:qFormat/>
    <w:uiPriority w:val="0"/>
    <w:rPr>
      <w:rFonts w:ascii="Calibri" w:hAnsi="Calibri" w:eastAsia="宋体" w:cs="Times New Roman"/>
      <w:b/>
      <w:bCs/>
      <w:kern w:val="2"/>
      <w:sz w:val="24"/>
      <w:szCs w:val="24"/>
    </w:rPr>
  </w:style>
  <w:style w:type="character" w:customStyle="1" w:styleId="67">
    <w:name w:val="标题 5 字符"/>
    <w:basedOn w:val="53"/>
    <w:link w:val="8"/>
    <w:qFormat/>
    <w:uiPriority w:val="0"/>
    <w:rPr>
      <w:rFonts w:ascii="Times New Roman" w:hAnsi="Times New Roman" w:eastAsia="宋体" w:cs="Times New Roman"/>
      <w:b/>
      <w:bCs/>
      <w:kern w:val="2"/>
      <w:sz w:val="28"/>
      <w:szCs w:val="28"/>
    </w:rPr>
  </w:style>
  <w:style w:type="character" w:customStyle="1" w:styleId="68">
    <w:name w:val="标题 6 字符"/>
    <w:basedOn w:val="53"/>
    <w:link w:val="9"/>
    <w:qFormat/>
    <w:uiPriority w:val="0"/>
    <w:rPr>
      <w:rFonts w:ascii="Arial" w:hAnsi="Arial" w:eastAsia="黑体" w:cs="Times New Roman"/>
      <w:b/>
      <w:bCs/>
      <w:sz w:val="24"/>
      <w:szCs w:val="24"/>
    </w:rPr>
  </w:style>
  <w:style w:type="character" w:customStyle="1" w:styleId="69">
    <w:name w:val="标题 7 字符"/>
    <w:basedOn w:val="53"/>
    <w:link w:val="10"/>
    <w:qFormat/>
    <w:uiPriority w:val="0"/>
    <w:rPr>
      <w:rFonts w:ascii="Times New Roman" w:hAnsi="Times New Roman" w:eastAsia="宋体" w:cs="Times New Roman"/>
      <w:b/>
      <w:bCs/>
      <w:sz w:val="24"/>
      <w:szCs w:val="24"/>
    </w:rPr>
  </w:style>
  <w:style w:type="character" w:customStyle="1" w:styleId="70">
    <w:name w:val="标题 8 字符"/>
    <w:basedOn w:val="53"/>
    <w:link w:val="11"/>
    <w:qFormat/>
    <w:uiPriority w:val="0"/>
    <w:rPr>
      <w:rFonts w:ascii="Arial" w:hAnsi="Arial" w:eastAsia="黑体" w:cs="Times New Roman"/>
      <w:sz w:val="24"/>
      <w:szCs w:val="24"/>
    </w:rPr>
  </w:style>
  <w:style w:type="character" w:customStyle="1" w:styleId="71">
    <w:name w:val="标题 9 字符"/>
    <w:basedOn w:val="53"/>
    <w:link w:val="12"/>
    <w:qFormat/>
    <w:uiPriority w:val="0"/>
    <w:rPr>
      <w:rFonts w:ascii="Arial" w:hAnsi="Arial" w:eastAsia="黑体" w:cs="Times New Roman"/>
      <w:sz w:val="21"/>
      <w:szCs w:val="21"/>
    </w:rPr>
  </w:style>
  <w:style w:type="character" w:customStyle="1" w:styleId="72">
    <w:name w:val="正文缩进 字符"/>
    <w:link w:val="16"/>
    <w:qFormat/>
    <w:uiPriority w:val="0"/>
    <w:rPr>
      <w:rFonts w:ascii="Times New Roman" w:hAnsi="Times New Roman" w:eastAsia="宋体" w:cs="Times New Roman"/>
      <w:kern w:val="2"/>
      <w:sz w:val="21"/>
      <w:szCs w:val="24"/>
    </w:rPr>
  </w:style>
  <w:style w:type="character" w:customStyle="1" w:styleId="73">
    <w:name w:val="文档结构图 字符"/>
    <w:basedOn w:val="53"/>
    <w:link w:val="18"/>
    <w:qFormat/>
    <w:uiPriority w:val="0"/>
    <w:rPr>
      <w:rFonts w:ascii="宋体" w:hAnsi="Calibri" w:eastAsia="宋体" w:cs="Times New Roman"/>
      <w:sz w:val="18"/>
      <w:szCs w:val="18"/>
    </w:rPr>
  </w:style>
  <w:style w:type="character" w:customStyle="1" w:styleId="74">
    <w:name w:val="批注文字 字符"/>
    <w:basedOn w:val="53"/>
    <w:link w:val="20"/>
    <w:qFormat/>
    <w:uiPriority w:val="0"/>
    <w:rPr>
      <w:rFonts w:ascii="Calibri" w:hAnsi="Calibri" w:eastAsia="宋体" w:cs="Times New Roman"/>
      <w:szCs w:val="24"/>
    </w:rPr>
  </w:style>
  <w:style w:type="character" w:customStyle="1" w:styleId="75">
    <w:name w:val="正文文本 3 字符"/>
    <w:link w:val="21"/>
    <w:qFormat/>
    <w:uiPriority w:val="0"/>
    <w:rPr>
      <w:rFonts w:ascii="Times New Roman" w:hAnsi="Times New Roman"/>
      <w:kern w:val="2"/>
      <w:sz w:val="16"/>
      <w:szCs w:val="16"/>
    </w:rPr>
  </w:style>
  <w:style w:type="character" w:customStyle="1" w:styleId="76">
    <w:name w:val="正文文本缩进 字符"/>
    <w:link w:val="22"/>
    <w:qFormat/>
    <w:uiPriority w:val="0"/>
    <w:rPr>
      <w:rFonts w:ascii="Times New Roman" w:hAnsi="Times New Roman"/>
      <w:szCs w:val="24"/>
    </w:rPr>
  </w:style>
  <w:style w:type="character" w:customStyle="1" w:styleId="77">
    <w:name w:val="纯文本 字符"/>
    <w:link w:val="25"/>
    <w:qFormat/>
    <w:uiPriority w:val="99"/>
    <w:rPr>
      <w:rFonts w:ascii="宋体" w:hAnsi="Courier New" w:eastAsia="宋体"/>
    </w:rPr>
  </w:style>
  <w:style w:type="character" w:customStyle="1" w:styleId="78">
    <w:name w:val="日期 字符"/>
    <w:basedOn w:val="53"/>
    <w:link w:val="27"/>
    <w:qFormat/>
    <w:uiPriority w:val="99"/>
    <w:rPr>
      <w:rFonts w:ascii="宋体" w:hAnsi="Times New Roman" w:eastAsia="宋体" w:cs="Times New Roman"/>
      <w:sz w:val="28"/>
      <w:szCs w:val="24"/>
    </w:rPr>
  </w:style>
  <w:style w:type="character" w:customStyle="1" w:styleId="79">
    <w:name w:val="正文文本缩进 2 字符"/>
    <w:basedOn w:val="53"/>
    <w:link w:val="28"/>
    <w:qFormat/>
    <w:uiPriority w:val="0"/>
    <w:rPr>
      <w:rFonts w:ascii="Calibri" w:hAnsi="Calibri" w:eastAsia="宋体" w:cs="Times New Roman"/>
      <w:szCs w:val="24"/>
    </w:rPr>
  </w:style>
  <w:style w:type="character" w:customStyle="1" w:styleId="80">
    <w:name w:val="尾注文本 字符"/>
    <w:link w:val="29"/>
    <w:qFormat/>
    <w:uiPriority w:val="0"/>
    <w:rPr>
      <w:rFonts w:ascii="Times New Roman" w:hAnsi="Times New Roman"/>
      <w:sz w:val="24"/>
    </w:rPr>
  </w:style>
  <w:style w:type="character" w:customStyle="1" w:styleId="81">
    <w:name w:val="批注框文本 字符"/>
    <w:basedOn w:val="53"/>
    <w:link w:val="30"/>
    <w:qFormat/>
    <w:uiPriority w:val="0"/>
    <w:rPr>
      <w:rFonts w:ascii="Calibri" w:hAnsi="Calibri" w:eastAsia="宋体" w:cs="Times New Roman"/>
      <w:sz w:val="18"/>
      <w:szCs w:val="18"/>
    </w:rPr>
  </w:style>
  <w:style w:type="character" w:customStyle="1" w:styleId="82">
    <w:name w:val="页脚 字符"/>
    <w:basedOn w:val="53"/>
    <w:link w:val="31"/>
    <w:qFormat/>
    <w:uiPriority w:val="99"/>
    <w:rPr>
      <w:sz w:val="18"/>
      <w:szCs w:val="18"/>
    </w:rPr>
  </w:style>
  <w:style w:type="character" w:customStyle="1" w:styleId="83">
    <w:name w:val="页眉 字符"/>
    <w:basedOn w:val="53"/>
    <w:link w:val="32"/>
    <w:qFormat/>
    <w:uiPriority w:val="99"/>
    <w:rPr>
      <w:sz w:val="18"/>
      <w:szCs w:val="18"/>
    </w:rPr>
  </w:style>
  <w:style w:type="character" w:customStyle="1" w:styleId="84">
    <w:name w:val="脚注文本 字符"/>
    <w:link w:val="38"/>
    <w:qFormat/>
    <w:uiPriority w:val="0"/>
    <w:rPr>
      <w:rFonts w:ascii="Calibri" w:hAnsi="Calibri" w:cs="Times New Roman"/>
      <w:kern w:val="2"/>
      <w:sz w:val="18"/>
      <w:szCs w:val="18"/>
    </w:rPr>
  </w:style>
  <w:style w:type="character" w:customStyle="1" w:styleId="85">
    <w:name w:val="正文文本缩进 3 字符"/>
    <w:link w:val="40"/>
    <w:qFormat/>
    <w:uiPriority w:val="0"/>
    <w:rPr>
      <w:rFonts w:ascii="Calibri" w:hAnsi="Calibri" w:eastAsia="宋体" w:cs="Times New Roman"/>
      <w:kern w:val="2"/>
      <w:sz w:val="16"/>
      <w:szCs w:val="16"/>
    </w:rPr>
  </w:style>
  <w:style w:type="character" w:customStyle="1" w:styleId="86">
    <w:name w:val="正文文本 2 字符"/>
    <w:link w:val="44"/>
    <w:qFormat/>
    <w:uiPriority w:val="0"/>
    <w:rPr>
      <w:rFonts w:ascii="Times New Roman" w:hAnsi="Times New Roman"/>
      <w:b/>
      <w:bCs/>
      <w:kern w:val="2"/>
      <w:sz w:val="21"/>
      <w:szCs w:val="21"/>
    </w:rPr>
  </w:style>
  <w:style w:type="character" w:customStyle="1" w:styleId="87">
    <w:name w:val="HTML 预设格式 字符"/>
    <w:link w:val="45"/>
    <w:qFormat/>
    <w:uiPriority w:val="0"/>
    <w:rPr>
      <w:rFonts w:ascii="宋体" w:hAnsi="宋体" w:cs="宋体"/>
      <w:sz w:val="24"/>
      <w:szCs w:val="24"/>
    </w:rPr>
  </w:style>
  <w:style w:type="character" w:customStyle="1" w:styleId="88">
    <w:name w:val="普通(网站) 字符"/>
    <w:link w:val="46"/>
    <w:qFormat/>
    <w:locked/>
    <w:uiPriority w:val="0"/>
    <w:rPr>
      <w:rFonts w:ascii="宋体" w:hAnsi="宋体" w:eastAsia="宋体" w:cs="Times New Roman"/>
      <w:sz w:val="15"/>
      <w:szCs w:val="15"/>
    </w:rPr>
  </w:style>
  <w:style w:type="character" w:customStyle="1" w:styleId="89">
    <w:name w:val="标题 字符"/>
    <w:link w:val="47"/>
    <w:qFormat/>
    <w:uiPriority w:val="0"/>
    <w:rPr>
      <w:rFonts w:eastAsia="隶书_GB2312"/>
      <w:b/>
      <w:sz w:val="48"/>
    </w:rPr>
  </w:style>
  <w:style w:type="character" w:customStyle="1" w:styleId="90">
    <w:name w:val="批注主题 字符"/>
    <w:basedOn w:val="74"/>
    <w:link w:val="48"/>
    <w:qFormat/>
    <w:uiPriority w:val="99"/>
    <w:rPr>
      <w:rFonts w:ascii="Calibri" w:hAnsi="Calibri" w:eastAsia="宋体" w:cs="Times New Roman"/>
      <w:b/>
      <w:bCs/>
      <w:szCs w:val="24"/>
    </w:rPr>
  </w:style>
  <w:style w:type="character" w:customStyle="1" w:styleId="91">
    <w:name w:val="正文文本首行缩进 字符"/>
    <w:basedOn w:val="65"/>
    <w:link w:val="49"/>
    <w:qFormat/>
    <w:uiPriority w:val="0"/>
    <w:rPr>
      <w:rFonts w:ascii="宋体" w:hAnsi="Times New Roman" w:eastAsia="宋体" w:cs="Times New Roman"/>
      <w:szCs w:val="24"/>
    </w:rPr>
  </w:style>
  <w:style w:type="character" w:customStyle="1" w:styleId="92">
    <w:name w:val="正文文本首行缩进 2 字符"/>
    <w:link w:val="50"/>
    <w:qFormat/>
    <w:uiPriority w:val="0"/>
    <w:rPr>
      <w:rFonts w:ascii="Tahoma" w:hAnsi="Tahoma" w:eastAsia="宋体"/>
      <w:sz w:val="28"/>
      <w:szCs w:val="24"/>
    </w:rPr>
  </w:style>
  <w:style w:type="character" w:customStyle="1" w:styleId="93">
    <w:name w:val="未处理的提及1"/>
    <w:basedOn w:val="53"/>
    <w:unhideWhenUsed/>
    <w:qFormat/>
    <w:uiPriority w:val="99"/>
    <w:rPr>
      <w:color w:val="605E5C"/>
      <w:shd w:val="clear" w:color="auto" w:fill="E1DFDD"/>
    </w:rPr>
  </w:style>
  <w:style w:type="character" w:customStyle="1" w:styleId="94">
    <w:name w:val="未处理的提及2"/>
    <w:basedOn w:val="53"/>
    <w:unhideWhenUsed/>
    <w:qFormat/>
    <w:uiPriority w:val="99"/>
    <w:rPr>
      <w:color w:val="605E5C"/>
      <w:shd w:val="clear" w:color="auto" w:fill="E1DFDD"/>
    </w:rPr>
  </w:style>
  <w:style w:type="character" w:customStyle="1" w:styleId="95">
    <w:name w:val="标题 Char2"/>
    <w:basedOn w:val="53"/>
    <w:qFormat/>
    <w:uiPriority w:val="10"/>
    <w:rPr>
      <w:rFonts w:ascii="Cambria" w:hAnsi="Cambria" w:eastAsia="宋体" w:cs="Times New Roman"/>
      <w:b/>
      <w:bCs/>
      <w:sz w:val="32"/>
      <w:szCs w:val="32"/>
    </w:rPr>
  </w:style>
  <w:style w:type="character" w:customStyle="1" w:styleId="96">
    <w:name w:val="正文文本缩进 3 Char2"/>
    <w:basedOn w:val="53"/>
    <w:semiHidden/>
    <w:qFormat/>
    <w:uiPriority w:val="99"/>
    <w:rPr>
      <w:rFonts w:ascii="Calibri" w:hAnsi="Calibri" w:eastAsia="宋体" w:cs="Times New Roman"/>
      <w:kern w:val="2"/>
      <w:sz w:val="16"/>
      <w:szCs w:val="16"/>
    </w:rPr>
  </w:style>
  <w:style w:type="character" w:customStyle="1" w:styleId="97">
    <w:name w:val="尾注文本 Char1"/>
    <w:basedOn w:val="53"/>
    <w:semiHidden/>
    <w:qFormat/>
    <w:uiPriority w:val="99"/>
    <w:rPr>
      <w:rFonts w:ascii="Calibri" w:hAnsi="Calibri" w:eastAsia="宋体" w:cs="Times New Roman"/>
      <w:kern w:val="2"/>
      <w:sz w:val="21"/>
      <w:szCs w:val="24"/>
    </w:rPr>
  </w:style>
  <w:style w:type="character" w:customStyle="1" w:styleId="98">
    <w:name w:val="正文缩进2格 Char"/>
    <w:link w:val="99"/>
    <w:qFormat/>
    <w:uiPriority w:val="0"/>
    <w:rPr>
      <w:rFonts w:ascii="仿宋_GB2312" w:hAnsi="宋体" w:eastAsia="仿宋_GB2312" w:cs="Times New Roman"/>
      <w:sz w:val="31"/>
      <w:szCs w:val="28"/>
    </w:rPr>
  </w:style>
  <w:style w:type="paragraph" w:customStyle="1" w:styleId="99">
    <w:name w:val="正文缩进2格"/>
    <w:basedOn w:val="1"/>
    <w:link w:val="98"/>
    <w:qFormat/>
    <w:uiPriority w:val="0"/>
    <w:pPr>
      <w:spacing w:line="600" w:lineRule="exact"/>
      <w:ind w:firstLine="639" w:firstLineChars="206"/>
    </w:pPr>
    <w:rPr>
      <w:rFonts w:ascii="仿宋_GB2312" w:hAnsi="宋体" w:eastAsia="仿宋_GB2312"/>
      <w:sz w:val="31"/>
      <w:szCs w:val="28"/>
    </w:rPr>
  </w:style>
  <w:style w:type="character" w:customStyle="1" w:styleId="100">
    <w:name w:val="font101"/>
    <w:basedOn w:val="53"/>
    <w:qFormat/>
    <w:uiPriority w:val="0"/>
    <w:rPr>
      <w:rFonts w:ascii="MingLiU" w:hAnsi="MingLiU" w:eastAsia="MingLiU" w:cs="MingLiU"/>
      <w:color w:val="000000"/>
      <w:sz w:val="20"/>
      <w:szCs w:val="20"/>
      <w:u w:val="none"/>
    </w:rPr>
  </w:style>
  <w:style w:type="character" w:customStyle="1" w:styleId="101">
    <w:name w:val="font21"/>
    <w:basedOn w:val="53"/>
    <w:qFormat/>
    <w:uiPriority w:val="0"/>
    <w:rPr>
      <w:rFonts w:hint="eastAsia" w:ascii="宋体" w:hAnsi="宋体" w:eastAsia="宋体" w:cs="宋体"/>
      <w:color w:val="000000"/>
      <w:sz w:val="20"/>
      <w:szCs w:val="20"/>
      <w:u w:val="none"/>
    </w:rPr>
  </w:style>
  <w:style w:type="character" w:customStyle="1" w:styleId="102">
    <w:name w:val="样式4 Char Char Char"/>
    <w:link w:val="103"/>
    <w:qFormat/>
    <w:uiPriority w:val="0"/>
    <w:rPr>
      <w:rFonts w:eastAsia="宋体" w:cs="宋体"/>
      <w:color w:val="000000"/>
      <w:sz w:val="24"/>
      <w:szCs w:val="24"/>
    </w:rPr>
  </w:style>
  <w:style w:type="paragraph" w:customStyle="1" w:styleId="103">
    <w:name w:val="样式4 Char"/>
    <w:basedOn w:val="1"/>
    <w:link w:val="102"/>
    <w:qFormat/>
    <w:uiPriority w:val="0"/>
    <w:pPr>
      <w:widowControl/>
      <w:spacing w:beforeLines="50" w:afterLines="50" w:line="360" w:lineRule="auto"/>
      <w:ind w:firstLine="480" w:firstLineChars="200"/>
      <w:jc w:val="left"/>
    </w:pPr>
    <w:rPr>
      <w:rFonts w:ascii="Calibri" w:hAnsi="Calibri" w:cs="宋体"/>
      <w:color w:val="000000"/>
      <w:kern w:val="0"/>
      <w:sz w:val="24"/>
    </w:rPr>
  </w:style>
  <w:style w:type="character" w:customStyle="1" w:styleId="104">
    <w:name w:val="标题 3.1 Char"/>
    <w:link w:val="105"/>
    <w:qFormat/>
    <w:uiPriority w:val="0"/>
    <w:rPr>
      <w:rFonts w:ascii="黑体" w:hAnsi="华文仿宋" w:eastAsia="黑体" w:cs="Times New Roman"/>
      <w:b/>
      <w:sz w:val="24"/>
      <w:szCs w:val="24"/>
    </w:rPr>
  </w:style>
  <w:style w:type="paragraph" w:customStyle="1" w:styleId="105">
    <w:name w:val="标题 3.1"/>
    <w:basedOn w:val="5"/>
    <w:link w:val="104"/>
    <w:qFormat/>
    <w:uiPriority w:val="0"/>
    <w:pPr>
      <w:tabs>
        <w:tab w:val="left" w:pos="1440"/>
        <w:tab w:val="left" w:pos="1620"/>
      </w:tabs>
      <w:spacing w:line="600" w:lineRule="exact"/>
    </w:pPr>
    <w:rPr>
      <w:rFonts w:ascii="黑体" w:hAnsi="华文仿宋" w:eastAsia="黑体"/>
      <w:bCs w:val="0"/>
      <w:sz w:val="24"/>
      <w:szCs w:val="24"/>
    </w:rPr>
  </w:style>
  <w:style w:type="character" w:customStyle="1" w:styleId="106">
    <w:name w:val="Char Char1"/>
    <w:qFormat/>
    <w:uiPriority w:val="0"/>
    <w:rPr>
      <w:rFonts w:ascii="Arial" w:hAnsi="Arial" w:eastAsia="宋体"/>
      <w:b/>
      <w:bCs/>
      <w:kern w:val="2"/>
      <w:sz w:val="28"/>
      <w:szCs w:val="28"/>
      <w:lang w:val="en-US" w:eastAsia="zh-CN" w:bidi="ar-SA"/>
    </w:rPr>
  </w:style>
  <w:style w:type="character" w:customStyle="1" w:styleId="107">
    <w:name w:val="标题 2 Char1"/>
    <w:qFormat/>
    <w:locked/>
    <w:uiPriority w:val="0"/>
    <w:rPr>
      <w:rFonts w:ascii="Arial" w:hAnsi="Arial" w:eastAsia="黑体"/>
      <w:b/>
      <w:sz w:val="32"/>
      <w:lang w:val="en-US" w:eastAsia="zh-CN" w:bidi="ar-SA"/>
    </w:rPr>
  </w:style>
  <w:style w:type="character" w:customStyle="1" w:styleId="108">
    <w:name w:val="1 Char Char"/>
    <w:link w:val="109"/>
    <w:qFormat/>
    <w:uiPriority w:val="99"/>
    <w:rPr>
      <w:rFonts w:ascii="宋体" w:hAnsi="宋体"/>
      <w:szCs w:val="21"/>
    </w:rPr>
  </w:style>
  <w:style w:type="paragraph" w:customStyle="1" w:styleId="109">
    <w:name w:val="1"/>
    <w:basedOn w:val="1"/>
    <w:link w:val="108"/>
    <w:qFormat/>
    <w:uiPriority w:val="0"/>
    <w:pPr>
      <w:spacing w:line="360" w:lineRule="auto"/>
      <w:ind w:firstLine="420" w:firstLineChars="200"/>
    </w:pPr>
    <w:rPr>
      <w:rFonts w:ascii="宋体" w:hAnsi="宋体" w:eastAsia="宋体" w:cs="Times New Roman"/>
      <w:kern w:val="0"/>
      <w:sz w:val="20"/>
      <w:szCs w:val="21"/>
    </w:rPr>
  </w:style>
  <w:style w:type="character" w:customStyle="1" w:styleId="110">
    <w:name w:val="样式23 Char Char"/>
    <w:link w:val="111"/>
    <w:qFormat/>
    <w:uiPriority w:val="0"/>
    <w:rPr>
      <w:rFonts w:ascii="Arial" w:hAnsi="Arial" w:eastAsia="黑体"/>
      <w:b/>
      <w:sz w:val="24"/>
      <w:szCs w:val="30"/>
    </w:rPr>
  </w:style>
  <w:style w:type="paragraph" w:customStyle="1" w:styleId="111">
    <w:name w:val="样式23"/>
    <w:basedOn w:val="1"/>
    <w:link w:val="110"/>
    <w:qFormat/>
    <w:uiPriority w:val="0"/>
    <w:pPr>
      <w:keepNext/>
      <w:keepLines/>
      <w:tabs>
        <w:tab w:val="left" w:pos="1232"/>
      </w:tabs>
      <w:spacing w:before="280" w:after="156" w:line="377" w:lineRule="auto"/>
      <w:jc w:val="left"/>
      <w:outlineLvl w:val="3"/>
    </w:pPr>
    <w:rPr>
      <w:rFonts w:ascii="Arial" w:hAnsi="Arial" w:eastAsia="黑体" w:cs="Times New Roman"/>
      <w:b/>
      <w:kern w:val="0"/>
      <w:sz w:val="24"/>
      <w:szCs w:val="30"/>
    </w:rPr>
  </w:style>
  <w:style w:type="character" w:customStyle="1" w:styleId="112">
    <w:name w:val="正文文本缩进 3 Char1"/>
    <w:basedOn w:val="53"/>
    <w:semiHidden/>
    <w:qFormat/>
    <w:uiPriority w:val="99"/>
    <w:rPr>
      <w:sz w:val="16"/>
      <w:szCs w:val="16"/>
    </w:rPr>
  </w:style>
  <w:style w:type="character" w:customStyle="1" w:styleId="113">
    <w:name w:val="批注文字 字符1"/>
    <w:basedOn w:val="53"/>
    <w:semiHidden/>
    <w:qFormat/>
    <w:uiPriority w:val="99"/>
  </w:style>
  <w:style w:type="character" w:customStyle="1" w:styleId="114">
    <w:name w:val="未处理的提及4"/>
    <w:basedOn w:val="53"/>
    <w:unhideWhenUsed/>
    <w:qFormat/>
    <w:uiPriority w:val="99"/>
    <w:rPr>
      <w:color w:val="605E5C"/>
      <w:shd w:val="clear" w:color="auto" w:fill="E1DFDD"/>
    </w:rPr>
  </w:style>
  <w:style w:type="character" w:customStyle="1" w:styleId="115">
    <w:name w:val="列表段落 字符"/>
    <w:link w:val="116"/>
    <w:qFormat/>
    <w:uiPriority w:val="0"/>
    <w:rPr>
      <w:rFonts w:ascii="Calibri" w:hAnsi="Calibri" w:eastAsia="宋体" w:cs="Times New Roman"/>
      <w:kern w:val="2"/>
      <w:sz w:val="21"/>
      <w:szCs w:val="24"/>
    </w:rPr>
  </w:style>
  <w:style w:type="paragraph" w:styleId="116">
    <w:name w:val="List Paragraph"/>
    <w:basedOn w:val="1"/>
    <w:link w:val="115"/>
    <w:unhideWhenUsed/>
    <w:qFormat/>
    <w:uiPriority w:val="34"/>
    <w:pPr>
      <w:ind w:firstLine="420" w:firstLineChars="200"/>
    </w:pPr>
  </w:style>
  <w:style w:type="character" w:customStyle="1" w:styleId="117">
    <w:name w:val="H5 Char Char"/>
    <w:qFormat/>
    <w:uiPriority w:val="0"/>
    <w:rPr>
      <w:rFonts w:ascii="Calibri" w:hAnsi="Calibri" w:eastAsia="宋体" w:cs="Times New Roman"/>
      <w:b/>
      <w:bCs/>
      <w:sz w:val="28"/>
      <w:szCs w:val="28"/>
    </w:rPr>
  </w:style>
  <w:style w:type="character" w:customStyle="1" w:styleId="118">
    <w:name w:val="正文文本缩进 字符1"/>
    <w:basedOn w:val="53"/>
    <w:semiHidden/>
    <w:qFormat/>
    <w:uiPriority w:val="99"/>
  </w:style>
  <w:style w:type="character" w:customStyle="1" w:styleId="119">
    <w:name w:val="尾注文本 字符1"/>
    <w:basedOn w:val="53"/>
    <w:semiHidden/>
    <w:qFormat/>
    <w:uiPriority w:val="99"/>
  </w:style>
  <w:style w:type="character" w:customStyle="1" w:styleId="120">
    <w:name w:val="正文文本缩进 Char1"/>
    <w:basedOn w:val="53"/>
    <w:semiHidden/>
    <w:qFormat/>
    <w:uiPriority w:val="99"/>
    <w:rPr>
      <w:rFonts w:ascii="Calibri" w:hAnsi="Calibri" w:eastAsia="宋体" w:cs="Times New Roman"/>
      <w:kern w:val="2"/>
      <w:sz w:val="21"/>
      <w:szCs w:val="24"/>
    </w:rPr>
  </w:style>
  <w:style w:type="character" w:customStyle="1" w:styleId="121">
    <w:name w:val="标题2"/>
    <w:basedOn w:val="53"/>
    <w:qFormat/>
    <w:uiPriority w:val="0"/>
  </w:style>
  <w:style w:type="character" w:customStyle="1" w:styleId="122">
    <w:name w:val="常规 Char Char"/>
    <w:link w:val="123"/>
    <w:qFormat/>
    <w:uiPriority w:val="0"/>
    <w:rPr>
      <w:rFonts w:eastAsia="宋体"/>
      <w:szCs w:val="21"/>
    </w:rPr>
  </w:style>
  <w:style w:type="paragraph" w:customStyle="1" w:styleId="123">
    <w:name w:val="常规"/>
    <w:basedOn w:val="1"/>
    <w:link w:val="122"/>
    <w:qFormat/>
    <w:uiPriority w:val="0"/>
    <w:pPr>
      <w:spacing w:beforeLines="100" w:afterLines="100"/>
      <w:ind w:left="1134"/>
    </w:pPr>
    <w:rPr>
      <w:rFonts w:ascii="Calibri" w:hAnsi="Calibri" w:cs="Times New Roman"/>
      <w:kern w:val="0"/>
      <w:sz w:val="20"/>
      <w:szCs w:val="21"/>
    </w:rPr>
  </w:style>
  <w:style w:type="character" w:customStyle="1" w:styleId="124">
    <w:name w:val="16"/>
    <w:basedOn w:val="53"/>
    <w:qFormat/>
    <w:uiPriority w:val="0"/>
  </w:style>
  <w:style w:type="character" w:customStyle="1" w:styleId="125">
    <w:name w:val="H6 Char Char"/>
    <w:qFormat/>
    <w:uiPriority w:val="0"/>
    <w:rPr>
      <w:rFonts w:ascii="Arial" w:hAnsi="Arial" w:eastAsia="黑体" w:cs="Times New Roman"/>
      <w:b/>
      <w:kern w:val="0"/>
      <w:sz w:val="24"/>
      <w:szCs w:val="20"/>
    </w:rPr>
  </w:style>
  <w:style w:type="character" w:customStyle="1" w:styleId="126">
    <w:name w:val="3级标题 Char Char"/>
    <w:link w:val="127"/>
    <w:qFormat/>
    <w:uiPriority w:val="0"/>
    <w:rPr>
      <w:rFonts w:ascii="Arial" w:hAnsi="Arial" w:eastAsia="黑体"/>
      <w:b/>
      <w:sz w:val="26"/>
      <w:szCs w:val="28"/>
    </w:rPr>
  </w:style>
  <w:style w:type="paragraph" w:customStyle="1" w:styleId="127">
    <w:name w:val="3级标题"/>
    <w:basedOn w:val="1"/>
    <w:link w:val="126"/>
    <w:qFormat/>
    <w:uiPriority w:val="0"/>
    <w:pPr>
      <w:keepNext/>
      <w:keepLines/>
      <w:tabs>
        <w:tab w:val="left" w:pos="1232"/>
      </w:tabs>
      <w:spacing w:before="280" w:after="156" w:line="377" w:lineRule="auto"/>
      <w:jc w:val="left"/>
      <w:outlineLvl w:val="2"/>
    </w:pPr>
    <w:rPr>
      <w:rFonts w:ascii="Arial" w:hAnsi="Arial" w:eastAsia="黑体" w:cs="Times New Roman"/>
      <w:b/>
      <w:kern w:val="0"/>
      <w:sz w:val="26"/>
      <w:szCs w:val="28"/>
    </w:rPr>
  </w:style>
  <w:style w:type="character" w:customStyle="1" w:styleId="128">
    <w:name w:val="标题 字符1"/>
    <w:basedOn w:val="53"/>
    <w:qFormat/>
    <w:uiPriority w:val="10"/>
    <w:rPr>
      <w:rFonts w:ascii="Cambria" w:hAnsi="Cambria" w:eastAsia="宋体" w:cs="Times New Roman"/>
      <w:b/>
      <w:bCs/>
      <w:kern w:val="2"/>
      <w:sz w:val="32"/>
      <w:szCs w:val="32"/>
    </w:rPr>
  </w:style>
  <w:style w:type="character" w:customStyle="1" w:styleId="129">
    <w:name w:val="font41"/>
    <w:basedOn w:val="53"/>
    <w:qFormat/>
    <w:uiPriority w:val="0"/>
    <w:rPr>
      <w:rFonts w:hint="default" w:ascii="Arial" w:hAnsi="Arial" w:cs="Arial"/>
      <w:color w:val="000000"/>
      <w:sz w:val="22"/>
      <w:szCs w:val="22"/>
      <w:u w:val="none"/>
    </w:rPr>
  </w:style>
  <w:style w:type="character" w:customStyle="1" w:styleId="130">
    <w:name w:val="my正文 Char Char"/>
    <w:link w:val="131"/>
    <w:qFormat/>
    <w:uiPriority w:val="0"/>
    <w:rPr>
      <w:rFonts w:ascii="宋体" w:hAnsi="宋体" w:eastAsia="宋体" w:cs="宋体"/>
      <w:sz w:val="24"/>
      <w:szCs w:val="24"/>
    </w:rPr>
  </w:style>
  <w:style w:type="paragraph" w:customStyle="1" w:styleId="131">
    <w:name w:val="my正文"/>
    <w:basedOn w:val="22"/>
    <w:link w:val="130"/>
    <w:qFormat/>
    <w:uiPriority w:val="0"/>
    <w:pPr>
      <w:spacing w:beforeLines="50" w:after="0" w:line="360" w:lineRule="auto"/>
      <w:ind w:left="0" w:leftChars="0" w:firstLine="540" w:firstLineChars="225"/>
    </w:pPr>
    <w:rPr>
      <w:rFonts w:ascii="宋体" w:hAnsi="宋体" w:eastAsia="宋体" w:cs="宋体"/>
      <w:sz w:val="24"/>
    </w:rPr>
  </w:style>
  <w:style w:type="character" w:customStyle="1" w:styleId="132">
    <w:name w:val="明显强调1"/>
    <w:qFormat/>
    <w:uiPriority w:val="0"/>
    <w:rPr>
      <w:b/>
      <w:bCs/>
      <w:i/>
      <w:iCs/>
      <w:color w:val="4F81BD"/>
    </w:rPr>
  </w:style>
  <w:style w:type="character" w:customStyle="1" w:styleId="133">
    <w:name w:val="Font Style21"/>
    <w:qFormat/>
    <w:uiPriority w:val="0"/>
    <w:rPr>
      <w:rFonts w:ascii="Arial Narrow" w:hAnsi="Arial Narrow" w:cs="Arial Narrow"/>
      <w:sz w:val="16"/>
      <w:szCs w:val="16"/>
    </w:rPr>
  </w:style>
  <w:style w:type="character" w:customStyle="1" w:styleId="134">
    <w:name w:val="不明显强调11"/>
    <w:qFormat/>
    <w:uiPriority w:val="0"/>
    <w:rPr>
      <w:i/>
      <w:iCs/>
      <w:color w:val="808080"/>
    </w:rPr>
  </w:style>
  <w:style w:type="character" w:customStyle="1" w:styleId="135">
    <w:name w:val="纯文本 字符1"/>
    <w:basedOn w:val="53"/>
    <w:semiHidden/>
    <w:qFormat/>
    <w:uiPriority w:val="99"/>
    <w:rPr>
      <w:rFonts w:ascii="宋体" w:hAnsi="Courier New" w:cs="Courier New"/>
    </w:rPr>
  </w:style>
  <w:style w:type="character" w:customStyle="1" w:styleId="136">
    <w:name w:val="正文缩进2格 Char Char"/>
    <w:qFormat/>
    <w:uiPriority w:val="0"/>
    <w:rPr>
      <w:rFonts w:ascii="仿宋_GB2312" w:hAnsi="宋体" w:eastAsia="仿宋_GB2312"/>
      <w:kern w:val="2"/>
      <w:sz w:val="31"/>
      <w:lang w:val="en-US" w:eastAsia="zh-CN" w:bidi="ar-SA"/>
    </w:rPr>
  </w:style>
  <w:style w:type="character" w:customStyle="1" w:styleId="137">
    <w:name w:val="列出段落 Char"/>
    <w:link w:val="138"/>
    <w:qFormat/>
    <w:uiPriority w:val="0"/>
    <w:rPr>
      <w:rFonts w:ascii="Times New Roman" w:hAnsi="Times New Roman"/>
      <w:szCs w:val="24"/>
    </w:rPr>
  </w:style>
  <w:style w:type="paragraph" w:customStyle="1" w:styleId="138">
    <w:name w:val="列出段落2"/>
    <w:basedOn w:val="1"/>
    <w:link w:val="137"/>
    <w:qFormat/>
    <w:uiPriority w:val="99"/>
    <w:pPr>
      <w:ind w:firstLine="420" w:firstLineChars="200"/>
    </w:pPr>
    <w:rPr>
      <w:rFonts w:ascii="Times New Roman" w:hAnsi="Times New Roman" w:eastAsia="宋体" w:cs="Times New Roman"/>
      <w:kern w:val="0"/>
      <w:sz w:val="20"/>
    </w:rPr>
  </w:style>
  <w:style w:type="character" w:customStyle="1" w:styleId="139">
    <w:name w:val="￥正文 Char Char"/>
    <w:link w:val="140"/>
    <w:qFormat/>
    <w:uiPriority w:val="0"/>
    <w:rPr>
      <w:rFonts w:ascii="Calibri" w:hAnsi="Calibri" w:eastAsia="宋体"/>
      <w:sz w:val="24"/>
    </w:rPr>
  </w:style>
  <w:style w:type="paragraph" w:customStyle="1" w:styleId="140">
    <w:name w:val="￥正文"/>
    <w:basedOn w:val="1"/>
    <w:link w:val="139"/>
    <w:qFormat/>
    <w:uiPriority w:val="0"/>
    <w:pPr>
      <w:spacing w:line="360" w:lineRule="auto"/>
      <w:ind w:firstLine="200" w:firstLineChars="200"/>
    </w:pPr>
    <w:rPr>
      <w:rFonts w:cs="Times New Roman"/>
      <w:kern w:val="0"/>
      <w:sz w:val="24"/>
      <w:szCs w:val="20"/>
    </w:rPr>
  </w:style>
  <w:style w:type="character" w:customStyle="1" w:styleId="141">
    <w:name w:val="未处理的提及3"/>
    <w:basedOn w:val="53"/>
    <w:unhideWhenUsed/>
    <w:qFormat/>
    <w:uiPriority w:val="99"/>
    <w:rPr>
      <w:color w:val="605E5C"/>
      <w:shd w:val="clear" w:color="auto" w:fill="E1DFDD"/>
    </w:rPr>
  </w:style>
  <w:style w:type="character" w:customStyle="1" w:styleId="142">
    <w:name w:val="明显强调11"/>
    <w:qFormat/>
    <w:uiPriority w:val="0"/>
    <w:rPr>
      <w:b/>
      <w:bCs/>
      <w:i/>
      <w:iCs/>
      <w:color w:val="4F81BD"/>
    </w:rPr>
  </w:style>
  <w:style w:type="character" w:customStyle="1" w:styleId="143">
    <w:name w:val="正文首行缩进 2 Char1"/>
    <w:basedOn w:val="120"/>
    <w:semiHidden/>
    <w:qFormat/>
    <w:uiPriority w:val="99"/>
    <w:rPr>
      <w:rFonts w:ascii="Calibri" w:hAnsi="Calibri" w:eastAsia="宋体" w:cs="Times New Roman"/>
      <w:kern w:val="2"/>
      <w:sz w:val="21"/>
      <w:szCs w:val="24"/>
    </w:rPr>
  </w:style>
  <w:style w:type="character" w:customStyle="1" w:styleId="144">
    <w:name w:val="font171"/>
    <w:basedOn w:val="53"/>
    <w:qFormat/>
    <w:uiPriority w:val="0"/>
    <w:rPr>
      <w:rFonts w:hint="eastAsia" w:ascii="宋体" w:hAnsi="宋体" w:eastAsia="宋体" w:cs="宋体"/>
      <w:color w:val="000000"/>
      <w:sz w:val="22"/>
      <w:szCs w:val="22"/>
      <w:u w:val="none"/>
    </w:rPr>
  </w:style>
  <w:style w:type="character" w:customStyle="1" w:styleId="145">
    <w:name w:val="正文文本缩进 3 Char"/>
    <w:qFormat/>
    <w:uiPriority w:val="0"/>
    <w:rPr>
      <w:kern w:val="2"/>
      <w:sz w:val="16"/>
      <w:szCs w:val="16"/>
    </w:rPr>
  </w:style>
  <w:style w:type="character" w:customStyle="1" w:styleId="146">
    <w:name w:val="文档结构图 字符1"/>
    <w:basedOn w:val="53"/>
    <w:semiHidden/>
    <w:qFormat/>
    <w:uiPriority w:val="99"/>
    <w:rPr>
      <w:rFonts w:ascii="Microsoft YaHei UI" w:eastAsia="Microsoft YaHei UI"/>
      <w:sz w:val="18"/>
      <w:szCs w:val="18"/>
    </w:rPr>
  </w:style>
  <w:style w:type="character" w:customStyle="1" w:styleId="147">
    <w:name w:val="批注主题 字符1"/>
    <w:basedOn w:val="113"/>
    <w:semiHidden/>
    <w:qFormat/>
    <w:uiPriority w:val="99"/>
    <w:rPr>
      <w:b/>
      <w:bCs/>
    </w:rPr>
  </w:style>
  <w:style w:type="character" w:customStyle="1" w:styleId="148">
    <w:name w:val="正文无缩进 Char"/>
    <w:link w:val="149"/>
    <w:qFormat/>
    <w:locked/>
    <w:uiPriority w:val="0"/>
    <w:rPr>
      <w:rFonts w:ascii="仿宋_GB2312" w:hAnsi="宋体" w:eastAsia="仿宋_GB2312" w:cs="Times New Roman"/>
      <w:sz w:val="31"/>
      <w:szCs w:val="28"/>
    </w:rPr>
  </w:style>
  <w:style w:type="paragraph" w:customStyle="1" w:styleId="149">
    <w:name w:val="正文无缩进"/>
    <w:basedOn w:val="99"/>
    <w:link w:val="148"/>
    <w:qFormat/>
    <w:uiPriority w:val="0"/>
    <w:pPr>
      <w:ind w:firstLine="0" w:firstLineChars="0"/>
    </w:pPr>
  </w:style>
  <w:style w:type="character" w:customStyle="1" w:styleId="150">
    <w:name w:val="表格名称 Char Char"/>
    <w:link w:val="151"/>
    <w:qFormat/>
    <w:uiPriority w:val="0"/>
    <w:rPr>
      <w:rFonts w:ascii="宋体" w:hAnsi="宋体" w:eastAsia="宋体"/>
      <w:b/>
      <w:sz w:val="24"/>
      <w:szCs w:val="21"/>
    </w:rPr>
  </w:style>
  <w:style w:type="paragraph" w:customStyle="1" w:styleId="151">
    <w:name w:val="表格名称"/>
    <w:basedOn w:val="116"/>
    <w:link w:val="150"/>
    <w:qFormat/>
    <w:uiPriority w:val="0"/>
    <w:pPr>
      <w:spacing w:line="360" w:lineRule="auto"/>
      <w:ind w:left="2940" w:firstLine="0" w:firstLineChars="0"/>
      <w:jc w:val="center"/>
    </w:pPr>
    <w:rPr>
      <w:rFonts w:ascii="宋体" w:hAnsi="宋体" w:cs="Times New Roman"/>
      <w:b/>
      <w:kern w:val="0"/>
      <w:sz w:val="24"/>
      <w:szCs w:val="21"/>
    </w:rPr>
  </w:style>
  <w:style w:type="character" w:customStyle="1" w:styleId="152">
    <w:name w:val="脚注文本 字符1"/>
    <w:basedOn w:val="53"/>
    <w:semiHidden/>
    <w:qFormat/>
    <w:uiPriority w:val="99"/>
    <w:rPr>
      <w:sz w:val="18"/>
      <w:szCs w:val="18"/>
    </w:rPr>
  </w:style>
  <w:style w:type="character" w:customStyle="1" w:styleId="153">
    <w:name w:val="批注主题 Char1"/>
    <w:basedOn w:val="154"/>
    <w:semiHidden/>
    <w:qFormat/>
    <w:uiPriority w:val="99"/>
    <w:rPr>
      <w:b/>
      <w:bCs/>
    </w:rPr>
  </w:style>
  <w:style w:type="character" w:customStyle="1" w:styleId="154">
    <w:name w:val="批注文字 Char1"/>
    <w:basedOn w:val="53"/>
    <w:semiHidden/>
    <w:qFormat/>
    <w:uiPriority w:val="99"/>
  </w:style>
  <w:style w:type="character" w:customStyle="1" w:styleId="155">
    <w:name w:val="正文文本 Char"/>
    <w:qFormat/>
    <w:uiPriority w:val="0"/>
    <w:rPr>
      <w:rFonts w:eastAsia="宋体"/>
      <w:sz w:val="21"/>
      <w:lang w:val="en-US" w:eastAsia="zh-CN" w:bidi="ar-SA"/>
    </w:rPr>
  </w:style>
  <w:style w:type="character" w:customStyle="1" w:styleId="156">
    <w:name w:val="注意框体 Char Char"/>
    <w:qFormat/>
    <w:uiPriority w:val="0"/>
    <w:rPr>
      <w:rFonts w:ascii="Arial" w:hAnsi="Arial" w:eastAsia="黑体" w:cs="Times New Roman"/>
      <w:kern w:val="0"/>
      <w:sz w:val="24"/>
      <w:szCs w:val="20"/>
    </w:rPr>
  </w:style>
  <w:style w:type="character" w:customStyle="1" w:styleId="157">
    <w:name w:val="普通文字1 Char"/>
    <w:link w:val="158"/>
    <w:qFormat/>
    <w:uiPriority w:val="0"/>
    <w:rPr>
      <w:rFonts w:ascii="宋体" w:hAnsi="Courier New" w:eastAsia="宋体"/>
    </w:rPr>
  </w:style>
  <w:style w:type="paragraph" w:customStyle="1" w:styleId="158">
    <w:name w:val="纯文本2"/>
    <w:basedOn w:val="1"/>
    <w:link w:val="157"/>
    <w:qFormat/>
    <w:uiPriority w:val="0"/>
    <w:rPr>
      <w:rFonts w:ascii="宋体" w:hAnsi="Courier New" w:cs="Times New Roman"/>
      <w:kern w:val="0"/>
      <w:sz w:val="20"/>
      <w:szCs w:val="20"/>
    </w:rPr>
  </w:style>
  <w:style w:type="character" w:customStyle="1" w:styleId="159">
    <w:name w:val="正文文本缩进 2 Char1"/>
    <w:basedOn w:val="53"/>
    <w:semiHidden/>
    <w:qFormat/>
    <w:uiPriority w:val="99"/>
  </w:style>
  <w:style w:type="character" w:customStyle="1" w:styleId="160">
    <w:name w:val="正文（绿盟科技） Char Char"/>
    <w:link w:val="161"/>
    <w:qFormat/>
    <w:uiPriority w:val="0"/>
    <w:rPr>
      <w:rFonts w:eastAsia="Times New Roman"/>
      <w:szCs w:val="21"/>
    </w:rPr>
  </w:style>
  <w:style w:type="paragraph" w:customStyle="1" w:styleId="161">
    <w:name w:val="正文（绿盟科技）"/>
    <w:link w:val="160"/>
    <w:qFormat/>
    <w:uiPriority w:val="0"/>
    <w:pPr>
      <w:spacing w:line="300" w:lineRule="auto"/>
    </w:pPr>
    <w:rPr>
      <w:rFonts w:ascii="Calibri" w:hAnsi="Calibri" w:eastAsia="Times New Roman" w:cs="Times New Roman"/>
      <w:szCs w:val="21"/>
      <w:lang w:val="en-US" w:eastAsia="zh-CN" w:bidi="ar-SA"/>
    </w:rPr>
  </w:style>
  <w:style w:type="character" w:customStyle="1" w:styleId="162">
    <w:name w:val="正文文本首行缩进 2 字符1"/>
    <w:basedOn w:val="76"/>
    <w:semiHidden/>
    <w:qFormat/>
    <w:uiPriority w:val="99"/>
    <w:rPr>
      <w:rFonts w:ascii="Calibri" w:hAnsi="Calibri" w:eastAsia="宋体" w:cs="Times New Roman"/>
      <w:kern w:val="2"/>
      <w:sz w:val="21"/>
      <w:szCs w:val="24"/>
    </w:rPr>
  </w:style>
  <w:style w:type="character" w:customStyle="1" w:styleId="163">
    <w:name w:val="Font Style26"/>
    <w:qFormat/>
    <w:uiPriority w:val="0"/>
    <w:rPr>
      <w:rFonts w:ascii="Sylfaen" w:hAnsi="Sylfaen" w:cs="Sylfaen"/>
      <w:b/>
      <w:bCs/>
      <w:sz w:val="16"/>
      <w:szCs w:val="16"/>
    </w:rPr>
  </w:style>
  <w:style w:type="character" w:customStyle="1" w:styleId="164">
    <w:name w:val="脚注文本 Char"/>
    <w:qFormat/>
    <w:uiPriority w:val="0"/>
    <w:rPr>
      <w:kern w:val="2"/>
      <w:sz w:val="18"/>
      <w:szCs w:val="18"/>
    </w:rPr>
  </w:style>
  <w:style w:type="character" w:customStyle="1" w:styleId="165">
    <w:name w:val="表格 Char Char"/>
    <w:link w:val="166"/>
    <w:qFormat/>
    <w:uiPriority w:val="0"/>
    <w:rPr>
      <w:rFonts w:ascii="宋体" w:hAnsi="宋体" w:eastAsia="宋体"/>
      <w:color w:val="000000"/>
      <w:sz w:val="24"/>
    </w:rPr>
  </w:style>
  <w:style w:type="paragraph" w:customStyle="1" w:styleId="166">
    <w:name w:val="表格"/>
    <w:basedOn w:val="1"/>
    <w:link w:val="165"/>
    <w:qFormat/>
    <w:uiPriority w:val="0"/>
    <w:pPr>
      <w:autoSpaceDE w:val="0"/>
      <w:autoSpaceDN w:val="0"/>
      <w:adjustRightInd w:val="0"/>
      <w:jc w:val="center"/>
    </w:pPr>
    <w:rPr>
      <w:rFonts w:ascii="宋体" w:hAnsi="宋体" w:cs="Times New Roman"/>
      <w:color w:val="000000"/>
      <w:kern w:val="0"/>
      <w:sz w:val="24"/>
      <w:szCs w:val="20"/>
    </w:rPr>
  </w:style>
  <w:style w:type="character" w:customStyle="1" w:styleId="167">
    <w:name w:val="标题 21"/>
    <w:qFormat/>
    <w:uiPriority w:val="0"/>
    <w:rPr>
      <w:rFonts w:ascii="宋体" w:hAnsi="宋体" w:eastAsia="宋体"/>
      <w:b/>
      <w:kern w:val="2"/>
      <w:sz w:val="36"/>
      <w:szCs w:val="24"/>
      <w:lang w:val="en-US" w:eastAsia="zh-CN" w:bidi="ar-SA"/>
    </w:rPr>
  </w:style>
  <w:style w:type="character" w:customStyle="1" w:styleId="168">
    <w:name w:val="Plain Text Char"/>
    <w:qFormat/>
    <w:locked/>
    <w:uiPriority w:val="0"/>
    <w:rPr>
      <w:rFonts w:ascii="宋体" w:hAnsi="Courier New" w:eastAsia="方正书宋简体" w:cs="Times New Roman"/>
      <w:sz w:val="20"/>
      <w:szCs w:val="20"/>
    </w:rPr>
  </w:style>
  <w:style w:type="character" w:customStyle="1" w:styleId="169">
    <w:name w:val="Ò³Ã¼ Char Char"/>
    <w:qFormat/>
    <w:uiPriority w:val="0"/>
    <w:rPr>
      <w:rFonts w:eastAsia="宋体"/>
      <w:sz w:val="18"/>
      <w:szCs w:val="18"/>
      <w:lang w:val="en-US" w:eastAsia="zh-CN" w:bidi="ar-SA"/>
    </w:rPr>
  </w:style>
  <w:style w:type="character" w:customStyle="1" w:styleId="170">
    <w:name w:val="正文文本缩进 2 字符1"/>
    <w:basedOn w:val="53"/>
    <w:semiHidden/>
    <w:qFormat/>
    <w:uiPriority w:val="99"/>
  </w:style>
  <w:style w:type="character" w:customStyle="1" w:styleId="171">
    <w:name w:val="页码2"/>
    <w:basedOn w:val="53"/>
    <w:qFormat/>
    <w:uiPriority w:val="0"/>
  </w:style>
  <w:style w:type="character" w:customStyle="1" w:styleId="172">
    <w:name w:val="正文文本首行缩进 字符1"/>
    <w:basedOn w:val="65"/>
    <w:semiHidden/>
    <w:qFormat/>
    <w:uiPriority w:val="99"/>
    <w:rPr>
      <w:rFonts w:ascii="Times New Roman" w:hAnsi="Times New Roman" w:eastAsia="宋体" w:cs="Times New Roman"/>
      <w:kern w:val="0"/>
      <w:szCs w:val="20"/>
    </w:rPr>
  </w:style>
  <w:style w:type="character" w:customStyle="1" w:styleId="173">
    <w:name w:val="font81"/>
    <w:basedOn w:val="53"/>
    <w:qFormat/>
    <w:uiPriority w:val="0"/>
    <w:rPr>
      <w:rFonts w:hint="default" w:ascii="Arial" w:hAnsi="Arial" w:cs="Arial"/>
      <w:color w:val="000000"/>
      <w:sz w:val="20"/>
      <w:szCs w:val="20"/>
      <w:u w:val="none"/>
    </w:rPr>
  </w:style>
  <w:style w:type="character" w:customStyle="1" w:styleId="174">
    <w:name w:val="标题 Char1"/>
    <w:qFormat/>
    <w:uiPriority w:val="10"/>
    <w:rPr>
      <w:rFonts w:ascii="Cambria" w:hAnsi="Cambria" w:eastAsia="宋体" w:cs="黑体"/>
      <w:b/>
      <w:bCs/>
      <w:sz w:val="32"/>
      <w:szCs w:val="32"/>
    </w:rPr>
  </w:style>
  <w:style w:type="character" w:customStyle="1" w:styleId="175">
    <w:name w:val="HTML 预设格式 Char1"/>
    <w:basedOn w:val="53"/>
    <w:semiHidden/>
    <w:qFormat/>
    <w:uiPriority w:val="99"/>
    <w:rPr>
      <w:rFonts w:ascii="Courier New" w:hAnsi="Courier New" w:eastAsia="宋体" w:cs="Courier New"/>
      <w:kern w:val="2"/>
    </w:rPr>
  </w:style>
  <w:style w:type="character" w:customStyle="1" w:styleId="176">
    <w:name w:val="样式20 Char Char"/>
    <w:link w:val="177"/>
    <w:qFormat/>
    <w:uiPriority w:val="0"/>
    <w:rPr>
      <w:rFonts w:ascii="Arial" w:hAnsi="Arial" w:eastAsia="宋体"/>
      <w:b/>
      <w:bCs/>
      <w:sz w:val="30"/>
      <w:szCs w:val="30"/>
    </w:rPr>
  </w:style>
  <w:style w:type="paragraph" w:customStyle="1" w:styleId="177">
    <w:name w:val="样式20"/>
    <w:basedOn w:val="4"/>
    <w:link w:val="176"/>
    <w:qFormat/>
    <w:uiPriority w:val="0"/>
    <w:pPr>
      <w:tabs>
        <w:tab w:val="clear" w:pos="1440"/>
      </w:tabs>
      <w:adjustRightInd/>
      <w:spacing w:line="416" w:lineRule="auto"/>
      <w:ind w:left="567" w:hanging="567"/>
      <w:textAlignment w:val="auto"/>
    </w:pPr>
    <w:rPr>
      <w:rFonts w:eastAsia="宋体" w:cs="Times New Roman"/>
      <w:bCs/>
      <w:sz w:val="30"/>
      <w:szCs w:val="30"/>
    </w:rPr>
  </w:style>
  <w:style w:type="character" w:customStyle="1" w:styleId="178">
    <w:name w:val="font71"/>
    <w:basedOn w:val="53"/>
    <w:qFormat/>
    <w:uiPriority w:val="0"/>
    <w:rPr>
      <w:rFonts w:ascii="Arial" w:hAnsi="Arial" w:cs="Arial"/>
      <w:color w:val="000000"/>
      <w:sz w:val="20"/>
      <w:szCs w:val="20"/>
      <w:u w:val="none"/>
    </w:rPr>
  </w:style>
  <w:style w:type="character" w:customStyle="1" w:styleId="179">
    <w:name w:val="HTML 预设格式 字符1"/>
    <w:basedOn w:val="53"/>
    <w:semiHidden/>
    <w:qFormat/>
    <w:uiPriority w:val="99"/>
    <w:rPr>
      <w:rFonts w:ascii="Courier New" w:hAnsi="Courier New" w:cs="Courier New"/>
      <w:sz w:val="20"/>
      <w:szCs w:val="20"/>
    </w:rPr>
  </w:style>
  <w:style w:type="character" w:customStyle="1" w:styleId="180">
    <w:name w:val="正文文本缩进 3 字符1"/>
    <w:basedOn w:val="53"/>
    <w:semiHidden/>
    <w:qFormat/>
    <w:uiPriority w:val="99"/>
    <w:rPr>
      <w:sz w:val="16"/>
      <w:szCs w:val="16"/>
    </w:rPr>
  </w:style>
  <w:style w:type="character" w:customStyle="1" w:styleId="181">
    <w:name w:val="正文文本 3 Char1"/>
    <w:basedOn w:val="53"/>
    <w:semiHidden/>
    <w:qFormat/>
    <w:uiPriority w:val="99"/>
    <w:rPr>
      <w:rFonts w:ascii="Calibri" w:hAnsi="Calibri" w:eastAsia="宋体" w:cs="Times New Roman"/>
      <w:kern w:val="2"/>
      <w:sz w:val="16"/>
      <w:szCs w:val="16"/>
    </w:rPr>
  </w:style>
  <w:style w:type="character" w:customStyle="1" w:styleId="182">
    <w:name w:val="Figure Description Char Char"/>
    <w:link w:val="183"/>
    <w:qFormat/>
    <w:uiPriority w:val="0"/>
    <w:rPr>
      <w:rFonts w:ascii="Calibri" w:hAnsi="Calibri" w:eastAsia="宋体"/>
      <w:sz w:val="18"/>
      <w:szCs w:val="24"/>
      <w:lang w:eastAsia="en-US" w:bidi="en-US"/>
    </w:rPr>
  </w:style>
  <w:style w:type="paragraph" w:customStyle="1" w:styleId="183">
    <w:name w:val="Figure Description"/>
    <w:basedOn w:val="184"/>
    <w:next w:val="1"/>
    <w:link w:val="182"/>
    <w:qFormat/>
    <w:uiPriority w:val="0"/>
    <w:pPr>
      <w:tabs>
        <w:tab w:val="left" w:pos="0"/>
      </w:tabs>
      <w:ind w:left="1554" w:hanging="420"/>
    </w:pPr>
    <w:rPr>
      <w:sz w:val="18"/>
    </w:rPr>
  </w:style>
  <w:style w:type="paragraph" w:customStyle="1" w:styleId="184">
    <w:name w:val="Figure"/>
    <w:basedOn w:val="1"/>
    <w:next w:val="183"/>
    <w:link w:val="185"/>
    <w:qFormat/>
    <w:uiPriority w:val="0"/>
    <w:pPr>
      <w:keepNext/>
      <w:keepLines/>
      <w:widowControl/>
      <w:jc w:val="center"/>
    </w:pPr>
    <w:rPr>
      <w:rFonts w:cs="Times New Roman"/>
      <w:kern w:val="0"/>
      <w:sz w:val="24"/>
      <w:lang w:eastAsia="en-US" w:bidi="en-US"/>
    </w:rPr>
  </w:style>
  <w:style w:type="character" w:customStyle="1" w:styleId="185">
    <w:name w:val="Figure Char Char"/>
    <w:link w:val="184"/>
    <w:qFormat/>
    <w:uiPriority w:val="0"/>
    <w:rPr>
      <w:rFonts w:ascii="Calibri" w:hAnsi="Calibri" w:eastAsia="宋体"/>
      <w:sz w:val="24"/>
      <w:szCs w:val="24"/>
      <w:lang w:eastAsia="en-US" w:bidi="en-US"/>
    </w:rPr>
  </w:style>
  <w:style w:type="character" w:customStyle="1" w:styleId="186">
    <w:name w:val="图形名称 Char Char"/>
    <w:link w:val="187"/>
    <w:qFormat/>
    <w:uiPriority w:val="0"/>
    <w:rPr>
      <w:rFonts w:ascii="宋体" w:hAnsi="宋体" w:eastAsia="宋体"/>
      <w:b/>
      <w:szCs w:val="21"/>
    </w:rPr>
  </w:style>
  <w:style w:type="paragraph" w:customStyle="1" w:styleId="187">
    <w:name w:val="图形名称"/>
    <w:basedOn w:val="151"/>
    <w:link w:val="186"/>
    <w:qFormat/>
    <w:uiPriority w:val="0"/>
    <w:pPr>
      <w:ind w:left="420" w:hanging="420"/>
    </w:pPr>
    <w:rPr>
      <w:sz w:val="20"/>
    </w:rPr>
  </w:style>
  <w:style w:type="character" w:customStyle="1" w:styleId="188">
    <w:name w:val="样式21 Char Char"/>
    <w:link w:val="189"/>
    <w:qFormat/>
    <w:uiPriority w:val="0"/>
    <w:rPr>
      <w:rFonts w:ascii="Arial" w:hAnsi="Arial" w:eastAsia="宋体"/>
      <w:b/>
      <w:sz w:val="28"/>
      <w:szCs w:val="28"/>
    </w:rPr>
  </w:style>
  <w:style w:type="paragraph" w:customStyle="1" w:styleId="189">
    <w:name w:val="样式21"/>
    <w:basedOn w:val="5"/>
    <w:link w:val="188"/>
    <w:qFormat/>
    <w:uiPriority w:val="0"/>
    <w:pPr>
      <w:ind w:left="709" w:hanging="709"/>
    </w:pPr>
    <w:rPr>
      <w:rFonts w:ascii="Arial" w:hAnsi="Arial" w:cs="Times New Roman"/>
      <w:bCs w:val="0"/>
      <w:kern w:val="0"/>
      <w:sz w:val="28"/>
      <w:szCs w:val="28"/>
    </w:rPr>
  </w:style>
  <w:style w:type="character" w:customStyle="1" w:styleId="190">
    <w:name w:val="未处理的提及5"/>
    <w:basedOn w:val="53"/>
    <w:unhideWhenUsed/>
    <w:qFormat/>
    <w:uiPriority w:val="99"/>
    <w:rPr>
      <w:color w:val="605E5C"/>
      <w:shd w:val="clear" w:color="auto" w:fill="E1DFDD"/>
    </w:rPr>
  </w:style>
  <w:style w:type="character" w:customStyle="1" w:styleId="191">
    <w:name w:val="font11"/>
    <w:basedOn w:val="53"/>
    <w:qFormat/>
    <w:uiPriority w:val="0"/>
    <w:rPr>
      <w:rFonts w:hint="eastAsia" w:ascii="宋体" w:hAnsi="宋体" w:eastAsia="宋体" w:cs="宋体"/>
      <w:color w:val="000000"/>
      <w:sz w:val="20"/>
      <w:szCs w:val="20"/>
      <w:u w:val="none"/>
    </w:rPr>
  </w:style>
  <w:style w:type="character" w:customStyle="1" w:styleId="192">
    <w:name w:val="font161"/>
    <w:basedOn w:val="53"/>
    <w:qFormat/>
    <w:uiPriority w:val="0"/>
    <w:rPr>
      <w:rFonts w:hint="eastAsia" w:ascii="宋体" w:hAnsi="宋体" w:eastAsia="宋体" w:cs="宋体"/>
      <w:b/>
      <w:color w:val="000000"/>
      <w:sz w:val="28"/>
      <w:szCs w:val="28"/>
      <w:u w:val="none"/>
    </w:rPr>
  </w:style>
  <w:style w:type="character" w:customStyle="1" w:styleId="193">
    <w:name w:val="arr1"/>
    <w:basedOn w:val="53"/>
    <w:qFormat/>
    <w:uiPriority w:val="0"/>
  </w:style>
  <w:style w:type="character" w:customStyle="1" w:styleId="194">
    <w:name w:val="标题1"/>
    <w:basedOn w:val="53"/>
    <w:qFormat/>
    <w:uiPriority w:val="0"/>
  </w:style>
  <w:style w:type="character" w:customStyle="1" w:styleId="195">
    <w:name w:val="bumpedfont15"/>
    <w:qFormat/>
    <w:uiPriority w:val="0"/>
    <w:rPr>
      <w:rFonts w:cs="Times New Roman"/>
    </w:rPr>
  </w:style>
  <w:style w:type="character" w:customStyle="1" w:styleId="196">
    <w:name w:val="正文缩进 Char"/>
    <w:qFormat/>
    <w:uiPriority w:val="0"/>
    <w:rPr>
      <w:rFonts w:eastAsia="宋体"/>
      <w:lang w:val="en-US" w:eastAsia="zh-CN" w:bidi="ar-SA"/>
    </w:rPr>
  </w:style>
  <w:style w:type="character" w:customStyle="1" w:styleId="197">
    <w:name w:val="脚注文本 Char2"/>
    <w:basedOn w:val="53"/>
    <w:semiHidden/>
    <w:qFormat/>
    <w:uiPriority w:val="99"/>
    <w:rPr>
      <w:rFonts w:ascii="Calibri" w:hAnsi="Calibri" w:eastAsia="宋体" w:cs="Times New Roman"/>
      <w:kern w:val="2"/>
      <w:sz w:val="18"/>
      <w:szCs w:val="18"/>
    </w:rPr>
  </w:style>
  <w:style w:type="character" w:customStyle="1" w:styleId="198">
    <w:name w:val="正文文本 2 字符1"/>
    <w:basedOn w:val="53"/>
    <w:semiHidden/>
    <w:qFormat/>
    <w:uiPriority w:val="99"/>
  </w:style>
  <w:style w:type="character" w:customStyle="1" w:styleId="199">
    <w:name w:val="不明显强调1"/>
    <w:qFormat/>
    <w:uiPriority w:val="0"/>
    <w:rPr>
      <w:i/>
      <w:iCs/>
      <w:color w:val="808080"/>
    </w:rPr>
  </w:style>
  <w:style w:type="character" w:customStyle="1" w:styleId="200">
    <w:name w:val="日期 Char1"/>
    <w:basedOn w:val="53"/>
    <w:semiHidden/>
    <w:qFormat/>
    <w:uiPriority w:val="99"/>
  </w:style>
  <w:style w:type="character" w:customStyle="1" w:styleId="201">
    <w:name w:val="日期 字符1"/>
    <w:basedOn w:val="53"/>
    <w:semiHidden/>
    <w:qFormat/>
    <w:uiPriority w:val="99"/>
  </w:style>
  <w:style w:type="character" w:customStyle="1" w:styleId="202">
    <w:name w:val="font51"/>
    <w:basedOn w:val="53"/>
    <w:qFormat/>
    <w:uiPriority w:val="0"/>
    <w:rPr>
      <w:rFonts w:hint="default" w:ascii="Arial" w:hAnsi="Arial" w:cs="Arial"/>
      <w:color w:val="000000"/>
      <w:sz w:val="20"/>
      <w:szCs w:val="20"/>
      <w:u w:val="none"/>
    </w:rPr>
  </w:style>
  <w:style w:type="character" w:customStyle="1" w:styleId="203">
    <w:name w:val="正文首行缩进 Char1"/>
    <w:basedOn w:val="65"/>
    <w:semiHidden/>
    <w:qFormat/>
    <w:uiPriority w:val="99"/>
    <w:rPr>
      <w:rFonts w:ascii="Times New Roman" w:hAnsi="Times New Roman" w:eastAsia="宋体" w:cs="Times New Roman"/>
      <w:kern w:val="0"/>
      <w:szCs w:val="20"/>
    </w:rPr>
  </w:style>
  <w:style w:type="character" w:customStyle="1" w:styleId="204">
    <w:name w:val="正文文字缩进 Char"/>
    <w:qFormat/>
    <w:uiPriority w:val="0"/>
    <w:rPr>
      <w:rFonts w:ascii="Times New Roman" w:hAnsi="Times New Roman" w:eastAsia="宋体" w:cs="Times New Roman"/>
      <w:kern w:val="0"/>
      <w:sz w:val="20"/>
      <w:szCs w:val="24"/>
    </w:rPr>
  </w:style>
  <w:style w:type="character" w:customStyle="1" w:styleId="205">
    <w:name w:val="正文文本 3 字符1"/>
    <w:basedOn w:val="53"/>
    <w:semiHidden/>
    <w:qFormat/>
    <w:uiPriority w:val="99"/>
    <w:rPr>
      <w:sz w:val="16"/>
      <w:szCs w:val="16"/>
    </w:rPr>
  </w:style>
  <w:style w:type="character" w:customStyle="1" w:styleId="206">
    <w:name w:val="2 Char Char"/>
    <w:link w:val="207"/>
    <w:qFormat/>
    <w:uiPriority w:val="0"/>
    <w:rPr>
      <w:rFonts w:ascii="宋体" w:hAnsi="宋体" w:cs="宋体"/>
      <w:b/>
      <w:color w:val="000000"/>
      <w:sz w:val="24"/>
      <w:szCs w:val="24"/>
    </w:rPr>
  </w:style>
  <w:style w:type="paragraph" w:customStyle="1" w:styleId="207">
    <w:name w:val="2"/>
    <w:basedOn w:val="1"/>
    <w:link w:val="206"/>
    <w:qFormat/>
    <w:uiPriority w:val="0"/>
    <w:pPr>
      <w:autoSpaceDE w:val="0"/>
      <w:autoSpaceDN w:val="0"/>
      <w:adjustRightInd w:val="0"/>
      <w:jc w:val="left"/>
    </w:pPr>
    <w:rPr>
      <w:rFonts w:ascii="宋体" w:hAnsi="宋体" w:eastAsia="宋体" w:cs="宋体"/>
      <w:b/>
      <w:color w:val="000000"/>
      <w:kern w:val="0"/>
      <w:sz w:val="24"/>
    </w:rPr>
  </w:style>
  <w:style w:type="character" w:customStyle="1" w:styleId="208">
    <w:name w:val="样式 正文缩进 + 首行缩进:  2 字符 Char Char"/>
    <w:link w:val="209"/>
    <w:qFormat/>
    <w:uiPriority w:val="0"/>
    <w:rPr>
      <w:rFonts w:eastAsia="宋体"/>
      <w:sz w:val="24"/>
    </w:rPr>
  </w:style>
  <w:style w:type="paragraph" w:customStyle="1" w:styleId="209">
    <w:name w:val="样式 正文缩进 + 首行缩进:  2 字符"/>
    <w:basedOn w:val="16"/>
    <w:link w:val="208"/>
    <w:qFormat/>
    <w:uiPriority w:val="0"/>
    <w:pPr>
      <w:spacing w:afterLines="50" w:line="360" w:lineRule="auto"/>
      <w:ind w:firstLine="200"/>
      <w:jc w:val="left"/>
    </w:pPr>
    <w:rPr>
      <w:rFonts w:ascii="Calibri" w:hAnsi="Calibri" w:cs="Times New Roman"/>
      <w:kern w:val="0"/>
      <w:sz w:val="24"/>
      <w:szCs w:val="20"/>
    </w:rPr>
  </w:style>
  <w:style w:type="character" w:customStyle="1" w:styleId="210">
    <w:name w:val="表正文 Char2"/>
    <w:qFormat/>
    <w:uiPriority w:val="0"/>
    <w:rPr>
      <w:rFonts w:eastAsia="宋体"/>
      <w:kern w:val="2"/>
      <w:sz w:val="21"/>
      <w:szCs w:val="24"/>
      <w:lang w:val="en-US" w:eastAsia="zh-CN" w:bidi="ar-SA"/>
    </w:rPr>
  </w:style>
  <w:style w:type="character" w:customStyle="1" w:styleId="211">
    <w:name w:val="纯文本 Char1"/>
    <w:basedOn w:val="53"/>
    <w:semiHidden/>
    <w:qFormat/>
    <w:uiPriority w:val="99"/>
    <w:rPr>
      <w:rFonts w:ascii="宋体" w:hAnsi="Courier New" w:eastAsia="宋体" w:cs="Courier New"/>
      <w:szCs w:val="21"/>
    </w:rPr>
  </w:style>
  <w:style w:type="character" w:customStyle="1" w:styleId="212">
    <w:name w:val="Item List Char Char"/>
    <w:link w:val="213"/>
    <w:qFormat/>
    <w:uiPriority w:val="0"/>
    <w:rPr>
      <w:szCs w:val="24"/>
    </w:rPr>
  </w:style>
  <w:style w:type="paragraph" w:customStyle="1" w:styleId="213">
    <w:name w:val="Item List"/>
    <w:basedOn w:val="1"/>
    <w:link w:val="212"/>
    <w:qFormat/>
    <w:uiPriority w:val="0"/>
    <w:pPr>
      <w:tabs>
        <w:tab w:val="left" w:pos="420"/>
        <w:tab w:val="left" w:pos="720"/>
      </w:tabs>
      <w:snapToGrid w:val="0"/>
      <w:spacing w:afterLines="50"/>
      <w:ind w:left="720" w:hanging="360"/>
      <w:jc w:val="left"/>
    </w:pPr>
    <w:rPr>
      <w:rFonts w:ascii="Calibri" w:hAnsi="Calibri" w:eastAsia="宋体" w:cs="Times New Roman"/>
      <w:kern w:val="0"/>
      <w:sz w:val="20"/>
    </w:rPr>
  </w:style>
  <w:style w:type="character" w:customStyle="1" w:styleId="214">
    <w:name w:val="标题 5（无编号）（绿盟科技） Char Char"/>
    <w:link w:val="215"/>
    <w:qFormat/>
    <w:uiPriority w:val="0"/>
    <w:rPr>
      <w:rFonts w:ascii="Arial" w:hAnsi="Arial" w:eastAsia="黑体"/>
      <w:b/>
      <w:sz w:val="24"/>
      <w:szCs w:val="28"/>
    </w:rPr>
  </w:style>
  <w:style w:type="paragraph" w:customStyle="1" w:styleId="215">
    <w:name w:val="标题 5（无编号）（绿盟科技）"/>
    <w:basedOn w:val="8"/>
    <w:link w:val="214"/>
    <w:qFormat/>
    <w:uiPriority w:val="0"/>
    <w:pPr>
      <w:tabs>
        <w:tab w:val="left" w:pos="1232"/>
      </w:tabs>
      <w:spacing w:after="156" w:line="377" w:lineRule="auto"/>
      <w:jc w:val="left"/>
    </w:pPr>
    <w:rPr>
      <w:rFonts w:ascii="Arial" w:hAnsi="Arial" w:eastAsia="黑体" w:cs="Times New Roman"/>
      <w:bCs w:val="0"/>
      <w:kern w:val="0"/>
      <w:sz w:val="24"/>
    </w:rPr>
  </w:style>
  <w:style w:type="character" w:customStyle="1" w:styleId="216">
    <w:name w:val="脚注文本 Char1"/>
    <w:basedOn w:val="53"/>
    <w:semiHidden/>
    <w:qFormat/>
    <w:uiPriority w:val="99"/>
    <w:rPr>
      <w:sz w:val="18"/>
      <w:szCs w:val="18"/>
    </w:rPr>
  </w:style>
  <w:style w:type="character" w:customStyle="1" w:styleId="217">
    <w:name w:val="Body Char Char"/>
    <w:link w:val="218"/>
    <w:qFormat/>
    <w:uiPriority w:val="0"/>
    <w:rPr>
      <w:rFonts w:ascii="Arial" w:hAnsi="Arial" w:eastAsia="宋体"/>
      <w:color w:val="000000"/>
      <w:szCs w:val="24"/>
    </w:rPr>
  </w:style>
  <w:style w:type="paragraph" w:customStyle="1" w:styleId="218">
    <w:name w:val="Body"/>
    <w:basedOn w:val="1"/>
    <w:link w:val="217"/>
    <w:qFormat/>
    <w:uiPriority w:val="0"/>
    <w:pPr>
      <w:widowControl/>
      <w:tabs>
        <w:tab w:val="left" w:pos="9255"/>
      </w:tabs>
      <w:spacing w:line="360" w:lineRule="auto"/>
      <w:ind w:firstLine="315" w:firstLineChars="150"/>
      <w:jc w:val="center"/>
    </w:pPr>
    <w:rPr>
      <w:rFonts w:ascii="Arial" w:hAnsi="Arial" w:cs="Times New Roman"/>
      <w:color w:val="000000"/>
      <w:kern w:val="0"/>
      <w:sz w:val="20"/>
    </w:rPr>
  </w:style>
  <w:style w:type="character" w:customStyle="1" w:styleId="219">
    <w:name w:val="正文文本 2 Char1"/>
    <w:basedOn w:val="53"/>
    <w:semiHidden/>
    <w:qFormat/>
    <w:uiPriority w:val="99"/>
    <w:rPr>
      <w:rFonts w:ascii="Calibri" w:hAnsi="Calibri" w:eastAsia="宋体" w:cs="Times New Roman"/>
      <w:kern w:val="2"/>
      <w:sz w:val="21"/>
      <w:szCs w:val="24"/>
    </w:rPr>
  </w:style>
  <w:style w:type="character" w:customStyle="1" w:styleId="220">
    <w:name w:val="文档结构图 Char1"/>
    <w:basedOn w:val="53"/>
    <w:semiHidden/>
    <w:qFormat/>
    <w:uiPriority w:val="99"/>
    <w:rPr>
      <w:rFonts w:ascii="宋体" w:eastAsia="宋体"/>
      <w:sz w:val="18"/>
      <w:szCs w:val="18"/>
    </w:rPr>
  </w:style>
  <w:style w:type="character" w:customStyle="1" w:styleId="221">
    <w:name w:val="页码1"/>
    <w:basedOn w:val="53"/>
    <w:qFormat/>
    <w:uiPriority w:val="0"/>
  </w:style>
  <w:style w:type="paragraph" w:customStyle="1" w:styleId="222">
    <w:name w:val="È±Ê¡ÎÄ±¾"/>
    <w:basedOn w:val="1"/>
    <w:qFormat/>
    <w:uiPriority w:val="0"/>
    <w:pPr>
      <w:widowControl/>
      <w:overflowPunct w:val="0"/>
      <w:autoSpaceDE w:val="0"/>
      <w:autoSpaceDN w:val="0"/>
      <w:adjustRightInd w:val="0"/>
      <w:textAlignment w:val="baseline"/>
    </w:pPr>
    <w:rPr>
      <w:rFonts w:ascii="Times New Roman" w:hAnsi="Times New Roman"/>
      <w:kern w:val="0"/>
      <w:sz w:val="24"/>
      <w:szCs w:val="20"/>
    </w:rPr>
  </w:style>
  <w:style w:type="paragraph" w:customStyle="1" w:styleId="223">
    <w:name w:val="bt"/>
    <w:basedOn w:val="1"/>
    <w:next w:val="6"/>
    <w:qFormat/>
    <w:uiPriority w:val="0"/>
    <w:pPr>
      <w:spacing w:after="120"/>
    </w:pPr>
    <w:rPr>
      <w:rFonts w:ascii="Times New Roman" w:hAnsi="Times New Roman"/>
    </w:rPr>
  </w:style>
  <w:style w:type="paragraph" w:customStyle="1" w:styleId="22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25">
    <w:name w:val="标题 31"/>
    <w:basedOn w:val="1"/>
    <w:next w:val="1"/>
    <w:qFormat/>
    <w:uiPriority w:val="0"/>
    <w:pPr>
      <w:keepNext/>
      <w:keepLines/>
      <w:spacing w:before="260" w:after="260" w:line="408" w:lineRule="auto"/>
      <w:outlineLvl w:val="2"/>
    </w:pPr>
    <w:rPr>
      <w:rFonts w:ascii="宋体" w:hAnsi="宋体"/>
      <w:b/>
      <w:sz w:val="32"/>
      <w:szCs w:val="20"/>
    </w:rPr>
  </w:style>
  <w:style w:type="paragraph" w:customStyle="1" w:styleId="226">
    <w:name w:val="标题 22"/>
    <w:basedOn w:val="1"/>
    <w:next w:val="1"/>
    <w:qFormat/>
    <w:uiPriority w:val="0"/>
    <w:pPr>
      <w:keepNext/>
      <w:keepLines/>
      <w:spacing w:before="260" w:after="260" w:line="408" w:lineRule="auto"/>
      <w:outlineLvl w:val="1"/>
    </w:pPr>
    <w:rPr>
      <w:rFonts w:ascii="Arial" w:hAnsi="Arial" w:eastAsia="黑体"/>
      <w:b/>
      <w:sz w:val="32"/>
      <w:szCs w:val="20"/>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海南模板"/>
    <w:basedOn w:val="1"/>
    <w:next w:val="47"/>
    <w:qFormat/>
    <w:uiPriority w:val="0"/>
    <w:pPr>
      <w:tabs>
        <w:tab w:val="left" w:pos="360"/>
      </w:tabs>
      <w:spacing w:after="120" w:line="460" w:lineRule="exact"/>
    </w:pPr>
    <w:rPr>
      <w:rFonts w:ascii="Times New Roman" w:hAnsi="Times New Roman" w:eastAsia="仿宋_GB2312"/>
      <w:sz w:val="28"/>
      <w:szCs w:val="20"/>
    </w:rPr>
  </w:style>
  <w:style w:type="paragraph" w:customStyle="1" w:styleId="229">
    <w:name w:val="题注5"/>
    <w:basedOn w:val="1"/>
    <w:next w:val="17"/>
    <w:qFormat/>
    <w:uiPriority w:val="0"/>
    <w:pPr>
      <w:jc w:val="center"/>
    </w:pPr>
    <w:rPr>
      <w:rFonts w:ascii="Times New Roman" w:hAnsi="Times New Roman"/>
      <w:b/>
      <w:color w:val="000000"/>
      <w:sz w:val="24"/>
      <w:szCs w:val="21"/>
    </w:rPr>
  </w:style>
  <w:style w:type="paragraph" w:customStyle="1" w:styleId="230">
    <w:name w:val="正文段落"/>
    <w:basedOn w:val="1"/>
    <w:qFormat/>
    <w:uiPriority w:val="0"/>
    <w:pPr>
      <w:ind w:firstLine="200" w:firstLineChars="200"/>
    </w:pPr>
    <w:rPr>
      <w:rFonts w:ascii="Times New Roman" w:hAnsi="Times New Roman"/>
    </w:rPr>
  </w:style>
  <w:style w:type="paragraph" w:customStyle="1" w:styleId="231">
    <w:name w:val="表格内容"/>
    <w:basedOn w:val="6"/>
    <w:qFormat/>
    <w:uiPriority w:val="0"/>
    <w:pPr>
      <w:suppressLineNumbers/>
      <w:suppressAutoHyphens/>
      <w:jc w:val="left"/>
    </w:pPr>
    <w:rPr>
      <w:rFonts w:ascii="Times New Roman" w:hAnsi="Times New Roman"/>
      <w:kern w:val="0"/>
      <w:sz w:val="24"/>
    </w:rPr>
  </w:style>
  <w:style w:type="paragraph" w:customStyle="1" w:styleId="232">
    <w:name w:val="样式2"/>
    <w:basedOn w:val="7"/>
    <w:qFormat/>
    <w:uiPriority w:val="0"/>
    <w:pPr>
      <w:keepNext/>
      <w:keepLines/>
      <w:spacing w:before="280" w:after="290" w:line="374" w:lineRule="auto"/>
    </w:pPr>
    <w:rPr>
      <w:rFonts w:ascii="Arial" w:hAnsi="Arial" w:eastAsia="黑体"/>
      <w:kern w:val="0"/>
      <w:sz w:val="28"/>
      <w:szCs w:val="28"/>
    </w:rPr>
  </w:style>
  <w:style w:type="paragraph" w:customStyle="1" w:styleId="233">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5">
    <w:name w:val="表格名"/>
    <w:basedOn w:val="116"/>
    <w:qFormat/>
    <w:uiPriority w:val="0"/>
    <w:pPr>
      <w:spacing w:line="360" w:lineRule="auto"/>
      <w:ind w:left="420" w:firstLine="0" w:firstLineChars="0"/>
      <w:jc w:val="center"/>
    </w:pPr>
    <w:rPr>
      <w:rFonts w:ascii="宋体" w:hAnsi="宋体" w:cs="Times New Roman"/>
      <w:b/>
      <w:szCs w:val="21"/>
    </w:rPr>
  </w:style>
  <w:style w:type="paragraph" w:customStyle="1" w:styleId="236">
    <w:name w:val="reader-word-layer reader-word-s10-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7">
    <w:name w:val="样式 标题 2章标题 1.12 headlinehheadlineS&amp;R2ERMH2H2PIM2Headin..."/>
    <w:basedOn w:val="4"/>
    <w:next w:val="5"/>
    <w:qFormat/>
    <w:uiPriority w:val="0"/>
    <w:pPr>
      <w:keepNext w:val="0"/>
      <w:keepLines w:val="0"/>
      <w:widowControl/>
      <w:tabs>
        <w:tab w:val="clear" w:pos="1440"/>
      </w:tabs>
      <w:adjustRightInd/>
      <w:spacing w:before="0" w:after="0" w:line="360" w:lineRule="auto"/>
      <w:ind w:left="0" w:firstLine="0"/>
      <w:jc w:val="center"/>
      <w:textAlignment w:val="auto"/>
    </w:pPr>
    <w:rPr>
      <w:rFonts w:ascii="Times New Roman" w:hAnsi="Times New Roman" w:eastAsia="宋体" w:cs="宋体"/>
      <w:kern w:val="2"/>
      <w:sz w:val="28"/>
    </w:rPr>
  </w:style>
  <w:style w:type="paragraph" w:customStyle="1" w:styleId="238">
    <w:name w:val="正文文本 21"/>
    <w:basedOn w:val="1"/>
    <w:qFormat/>
    <w:uiPriority w:val="0"/>
    <w:pPr>
      <w:widowControl/>
      <w:spacing w:after="120" w:line="480" w:lineRule="auto"/>
      <w:jc w:val="left"/>
    </w:pPr>
    <w:rPr>
      <w:rFonts w:ascii="Times New Roman" w:hAnsi="Times New Roman"/>
      <w:kern w:val="0"/>
    </w:rPr>
  </w:style>
  <w:style w:type="paragraph" w:customStyle="1" w:styleId="239">
    <w:name w:val="reader-word-layer reader-word-s10-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
    <w:name w:val="Char Char3"/>
    <w:basedOn w:val="1"/>
    <w:qFormat/>
    <w:uiPriority w:val="0"/>
    <w:pPr>
      <w:widowControl/>
      <w:spacing w:after="160" w:line="240" w:lineRule="exact"/>
      <w:jc w:val="center"/>
    </w:pPr>
    <w:rPr>
      <w:rFonts w:ascii="Times New Roman" w:hAnsi="Times New Roman"/>
    </w:rPr>
  </w:style>
  <w:style w:type="paragraph" w:customStyle="1" w:styleId="241">
    <w:name w:val="样式 正文文本 + 宋体 首行缩进:  0.74 厘米 行距: 1.5 倍行距"/>
    <w:basedOn w:val="6"/>
    <w:qFormat/>
    <w:uiPriority w:val="0"/>
    <w:pPr>
      <w:spacing w:line="360" w:lineRule="auto"/>
      <w:ind w:firstLine="200" w:firstLineChars="200"/>
    </w:pPr>
    <w:rPr>
      <w:sz w:val="24"/>
      <w:szCs w:val="22"/>
    </w:rPr>
  </w:style>
  <w:style w:type="paragraph" w:customStyle="1" w:styleId="242">
    <w:name w:val="样式 标题 2H2sect 1.2HD2h2Level 2 Topic Heading2Header 2head..."/>
    <w:basedOn w:val="4"/>
    <w:qFormat/>
    <w:uiPriority w:val="0"/>
    <w:pPr>
      <w:tabs>
        <w:tab w:val="clear" w:pos="1440"/>
      </w:tabs>
      <w:adjustRightInd/>
      <w:spacing w:line="413" w:lineRule="auto"/>
      <w:ind w:left="0" w:firstLine="0"/>
      <w:textAlignment w:val="auto"/>
    </w:pPr>
    <w:rPr>
      <w:rFonts w:ascii="Times New Roman" w:hAnsi="Times New Roman" w:eastAsia="仿宋_GB2312"/>
      <w:b w:val="0"/>
      <w:kern w:val="2"/>
      <w:sz w:val="30"/>
      <w:szCs w:val="30"/>
    </w:rPr>
  </w:style>
  <w:style w:type="paragraph" w:customStyle="1" w:styleId="243">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5">
    <w:name w:val="文章采用"/>
    <w:basedOn w:val="1"/>
    <w:qFormat/>
    <w:uiPriority w:val="0"/>
    <w:pPr>
      <w:spacing w:line="360" w:lineRule="auto"/>
      <w:ind w:firstLine="560" w:firstLineChars="200"/>
    </w:pPr>
    <w:rPr>
      <w:rFonts w:ascii="Times New Roman" w:hAnsi="Times New Roman" w:eastAsia="仿宋_GB2312" w:cs="宋体"/>
      <w:sz w:val="28"/>
      <w:szCs w:val="20"/>
    </w:rPr>
  </w:style>
  <w:style w:type="paragraph" w:customStyle="1" w:styleId="246">
    <w:name w:val="样式 首行缩进:  2 字符 段后: 0.5 行"/>
    <w:basedOn w:val="1"/>
    <w:qFormat/>
    <w:uiPriority w:val="0"/>
    <w:pPr>
      <w:tabs>
        <w:tab w:val="left" w:pos="980"/>
      </w:tabs>
      <w:spacing w:line="360" w:lineRule="auto"/>
      <w:ind w:left="980" w:hanging="420"/>
      <w:jc w:val="left"/>
    </w:pPr>
    <w:rPr>
      <w:rFonts w:ascii="Times New Roman" w:hAnsi="Times New Roman" w:eastAsia="仿宋_GB2312" w:cs="宋体"/>
      <w:sz w:val="28"/>
      <w:szCs w:val="20"/>
    </w:rPr>
  </w:style>
  <w:style w:type="paragraph" w:customStyle="1" w:styleId="247">
    <w:name w:val="正文文本缩进1"/>
    <w:basedOn w:val="1"/>
    <w:qFormat/>
    <w:uiPriority w:val="0"/>
    <w:pPr>
      <w:ind w:firstLine="830" w:firstLineChars="352"/>
    </w:pPr>
    <w:rPr>
      <w:rFonts w:ascii="仿宋_GB2312" w:hAnsi="Times New Roman" w:eastAsia="仿宋_GB2312"/>
      <w:sz w:val="32"/>
      <w:szCs w:val="20"/>
    </w:rPr>
  </w:style>
  <w:style w:type="paragraph" w:customStyle="1" w:styleId="248">
    <w:name w:val="样式 表格名称 + 两端对齐"/>
    <w:basedOn w:val="151"/>
    <w:qFormat/>
    <w:uiPriority w:val="0"/>
    <w:pPr>
      <w:ind w:left="984" w:hanging="420"/>
      <w:jc w:val="both"/>
    </w:pPr>
    <w:rPr>
      <w:rFonts w:cs="宋体"/>
      <w:bCs/>
      <w:sz w:val="21"/>
      <w:szCs w:val="20"/>
    </w:rPr>
  </w:style>
  <w:style w:type="paragraph" w:customStyle="1" w:styleId="249">
    <w:name w:val="Revision"/>
    <w:semiHidden/>
    <w:qFormat/>
    <w:uiPriority w:val="99"/>
    <w:rPr>
      <w:rFonts w:ascii="Calibri" w:hAnsi="Calibri" w:eastAsia="宋体" w:cs="Times New Roman"/>
      <w:kern w:val="2"/>
      <w:sz w:val="21"/>
      <w:szCs w:val="24"/>
      <w:lang w:val="en-US" w:eastAsia="zh-CN" w:bidi="ar-SA"/>
    </w:rPr>
  </w:style>
  <w:style w:type="paragraph" w:customStyle="1" w:styleId="250">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rPr>
  </w:style>
  <w:style w:type="paragraph" w:customStyle="1" w:styleId="251">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252">
    <w:name w:val="保留正文"/>
    <w:basedOn w:val="6"/>
    <w:qFormat/>
    <w:uiPriority w:val="0"/>
    <w:pPr>
      <w:keepNext/>
      <w:spacing w:after="160"/>
    </w:pPr>
    <w:rPr>
      <w:rFonts w:ascii="Times New Roman" w:hAnsi="Times New Roman"/>
    </w:rPr>
  </w:style>
  <w:style w:type="paragraph" w:customStyle="1" w:styleId="253">
    <w:name w:val="Char Char17 Char Char"/>
    <w:basedOn w:val="18"/>
    <w:qFormat/>
    <w:uiPriority w:val="0"/>
    <w:pPr>
      <w:widowControl/>
      <w:shd w:val="clear" w:color="auto" w:fill="000080"/>
      <w:jc w:val="left"/>
    </w:pPr>
    <w:rPr>
      <w:rFonts w:ascii="Calibri" w:hAnsi="Calibri" w:cs="Times New Roman"/>
      <w:sz w:val="21"/>
      <w:szCs w:val="24"/>
    </w:rPr>
  </w:style>
  <w:style w:type="paragraph" w:customStyle="1" w:styleId="254">
    <w:name w:val="TOC 标题1"/>
    <w:basedOn w:val="3"/>
    <w:next w:val="1"/>
    <w:unhideWhenUsed/>
    <w:qFormat/>
    <w:uiPriority w:val="0"/>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55">
    <w:name w:val="表格文字"/>
    <w:basedOn w:val="1"/>
    <w:qFormat/>
    <w:uiPriority w:val="0"/>
    <w:pPr>
      <w:spacing w:before="25" w:after="25" w:line="300" w:lineRule="auto"/>
    </w:pPr>
    <w:rPr>
      <w:rFonts w:ascii="Times" w:hAnsi="Times"/>
      <w:spacing w:val="10"/>
      <w:kern w:val="0"/>
      <w:sz w:val="24"/>
      <w:szCs w:val="20"/>
    </w:rPr>
  </w:style>
  <w:style w:type="paragraph" w:customStyle="1" w:styleId="256">
    <w:name w:val="样式 样式 首行缩进:  2 字符 + 首行缩进:  2 字符"/>
    <w:basedOn w:val="1"/>
    <w:qFormat/>
    <w:uiPriority w:val="0"/>
    <w:pPr>
      <w:spacing w:beforeLines="50" w:line="360" w:lineRule="auto"/>
      <w:ind w:firstLine="560" w:firstLineChars="200"/>
    </w:pPr>
    <w:rPr>
      <w:rFonts w:ascii="Times New Roman" w:hAnsi="Times New Roman" w:eastAsia="仿宋_GB2312" w:cs="宋体"/>
      <w:sz w:val="28"/>
      <w:szCs w:val="20"/>
    </w:rPr>
  </w:style>
  <w:style w:type="paragraph" w:customStyle="1" w:styleId="257">
    <w:name w:val="Figure title"/>
    <w:basedOn w:val="1"/>
    <w:next w:val="1"/>
    <w:qFormat/>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258">
    <w:name w:val="样式 标题 1H1h1章l1I11st levelHeading 01Header 1Header1Sec...1"/>
    <w:basedOn w:val="3"/>
    <w:qFormat/>
    <w:uiPriority w:val="0"/>
    <w:pPr>
      <w:spacing w:line="576" w:lineRule="auto"/>
    </w:pPr>
    <w:rPr>
      <w:rFonts w:ascii="黑体" w:hAnsi="黑体" w:eastAsia="黑体" w:cs="宋体"/>
      <w:b w:val="0"/>
      <w:sz w:val="36"/>
      <w:szCs w:val="20"/>
    </w:rPr>
  </w:style>
  <w:style w:type="paragraph" w:customStyle="1" w:styleId="259">
    <w:name w:val="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60">
    <w:name w:val="Item Step"/>
    <w:basedOn w:val="1"/>
    <w:qFormat/>
    <w:uiPriority w:val="0"/>
    <w:pPr>
      <w:widowControl/>
      <w:tabs>
        <w:tab w:val="left" w:pos="1134"/>
      </w:tabs>
      <w:spacing w:afterLines="50"/>
      <w:ind w:left="1554" w:hanging="420"/>
      <w:jc w:val="left"/>
    </w:pPr>
    <w:rPr>
      <w:rFonts w:ascii="Times New Roman" w:hAnsi="Times New Roman"/>
    </w:rPr>
  </w:style>
  <w:style w:type="paragraph" w:customStyle="1" w:styleId="261">
    <w:name w:val="样式 标题 3第二层条第三层论文标题 21.1.1 标题 3101.01 + 宋体 四号 非加粗 行距: 1.5..."/>
    <w:basedOn w:val="5"/>
    <w:next w:val="5"/>
    <w:qFormat/>
    <w:uiPriority w:val="0"/>
    <w:pPr>
      <w:widowControl/>
      <w:spacing w:line="360" w:lineRule="auto"/>
      <w:jc w:val="left"/>
    </w:pPr>
    <w:rPr>
      <w:rFonts w:ascii="宋体" w:hAnsi="宋体" w:eastAsia="仿宋_GB2312" w:cs="宋体"/>
      <w:bCs w:val="0"/>
      <w:sz w:val="28"/>
      <w:szCs w:val="20"/>
    </w:rPr>
  </w:style>
  <w:style w:type="paragraph" w:customStyle="1" w:styleId="2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3">
    <w:name w:val="p"/>
    <w:basedOn w:val="1"/>
    <w:qFormat/>
    <w:uiPriority w:val="0"/>
    <w:pPr>
      <w:widowControl/>
      <w:spacing w:line="525" w:lineRule="atLeast"/>
      <w:ind w:firstLine="375"/>
      <w:jc w:val="left"/>
    </w:pPr>
    <w:rPr>
      <w:rFonts w:ascii="Times New Roman" w:hAnsi="Times New Roman" w:eastAsia="宋体"/>
      <w:kern w:val="0"/>
      <w:sz w:val="24"/>
    </w:rPr>
  </w:style>
  <w:style w:type="paragraph" w:customStyle="1" w:styleId="26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265">
    <w:name w:val="4"/>
    <w:basedOn w:val="1"/>
    <w:next w:val="40"/>
    <w:qFormat/>
    <w:uiPriority w:val="0"/>
    <w:pPr>
      <w:ind w:firstLine="900"/>
    </w:pPr>
    <w:rPr>
      <w:rFonts w:ascii="Times New Roman" w:hAnsi="Times New Roman"/>
      <w:sz w:val="28"/>
      <w:szCs w:val="20"/>
    </w:rPr>
  </w:style>
  <w:style w:type="paragraph" w:customStyle="1" w:styleId="266">
    <w:name w:val="xiao b"/>
    <w:basedOn w:val="1"/>
    <w:qFormat/>
    <w:uiPriority w:val="0"/>
    <w:pPr>
      <w:spacing w:line="360" w:lineRule="auto"/>
      <w:jc w:val="center"/>
    </w:pPr>
    <w:rPr>
      <w:rFonts w:ascii="Times New Roman" w:hAnsi="Times New Roman" w:eastAsia="黑体"/>
      <w:sz w:val="24"/>
      <w:szCs w:val="20"/>
    </w:rPr>
  </w:style>
  <w:style w:type="paragraph" w:customStyle="1" w:styleId="267">
    <w:name w:val="正文缩进1"/>
    <w:basedOn w:val="1"/>
    <w:qFormat/>
    <w:uiPriority w:val="0"/>
    <w:pPr>
      <w:ind w:firstLine="420"/>
    </w:pPr>
    <w:rPr>
      <w:rFonts w:ascii="宋体" w:hAnsi="宋体"/>
      <w:szCs w:val="20"/>
    </w:rPr>
  </w:style>
  <w:style w:type="paragraph" w:customStyle="1" w:styleId="268">
    <w:name w:val="封面_项目开发单位"/>
    <w:basedOn w:val="25"/>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269">
    <w:name w:val="样式 样式 首行缩进:  2 字符 + 首行缩进:  2 字符 段前: 0.5 行 段后: 0.5 行"/>
    <w:basedOn w:val="1"/>
    <w:qFormat/>
    <w:uiPriority w:val="0"/>
    <w:pPr>
      <w:spacing w:beforeLines="50" w:afterLines="50" w:line="360" w:lineRule="auto"/>
      <w:ind w:firstLine="420" w:firstLineChars="200"/>
    </w:pPr>
    <w:rPr>
      <w:rFonts w:ascii="Arial" w:hAnsi="Arial" w:cs="宋体"/>
      <w:sz w:val="24"/>
    </w:rPr>
  </w:style>
  <w:style w:type="paragraph" w:customStyle="1" w:styleId="270">
    <w:name w:val="图表"/>
    <w:basedOn w:val="1"/>
    <w:qFormat/>
    <w:uiPriority w:val="0"/>
    <w:rPr>
      <w:rFonts w:ascii="宋体" w:hAnsi="宋体"/>
      <w:sz w:val="18"/>
      <w:szCs w:val="18"/>
    </w:rPr>
  </w:style>
  <w:style w:type="paragraph" w:customStyle="1" w:styleId="271">
    <w:name w:val="表格字"/>
    <w:basedOn w:val="1"/>
    <w:qFormat/>
    <w:uiPriority w:val="0"/>
    <w:pPr>
      <w:adjustRightInd w:val="0"/>
      <w:jc w:val="center"/>
    </w:pPr>
    <w:rPr>
      <w:rFonts w:ascii="宋体" w:hAnsi="Times New Roman"/>
      <w:sz w:val="24"/>
      <w:szCs w:val="20"/>
    </w:rPr>
  </w:style>
  <w:style w:type="paragraph" w:customStyle="1" w:styleId="272">
    <w:name w:val="修订3"/>
    <w:semiHidden/>
    <w:qFormat/>
    <w:uiPriority w:val="99"/>
    <w:rPr>
      <w:rFonts w:ascii="Calibri" w:hAnsi="Calibri" w:eastAsia="宋体" w:cs="Times New Roman"/>
      <w:kern w:val="2"/>
      <w:sz w:val="21"/>
      <w:szCs w:val="24"/>
      <w:lang w:val="en-US" w:eastAsia="zh-CN" w:bidi="ar-SA"/>
    </w:rPr>
  </w:style>
  <w:style w:type="paragraph" w:customStyle="1" w:styleId="273">
    <w:name w:val="样式 首行缩进:  0.74 厘米"/>
    <w:basedOn w:val="1"/>
    <w:qFormat/>
    <w:uiPriority w:val="0"/>
    <w:pPr>
      <w:spacing w:line="360" w:lineRule="auto"/>
      <w:ind w:firstLine="200" w:firstLineChars="200"/>
    </w:pPr>
    <w:rPr>
      <w:rFonts w:ascii="Times New Roman" w:hAnsi="Times New Roman" w:cs="宋体"/>
      <w:sz w:val="24"/>
      <w:szCs w:val="20"/>
    </w:rPr>
  </w:style>
  <w:style w:type="paragraph" w:customStyle="1" w:styleId="274">
    <w:name w:val="正文（首行缩进2字符）"/>
    <w:basedOn w:val="1"/>
    <w:qFormat/>
    <w:uiPriority w:val="0"/>
    <w:pPr>
      <w:spacing w:line="360" w:lineRule="auto"/>
      <w:ind w:firstLine="480" w:firstLineChars="200"/>
    </w:pPr>
    <w:rPr>
      <w:rFonts w:ascii="Times New Roman" w:hAnsi="Times New Roman"/>
      <w:sz w:val="24"/>
    </w:rPr>
  </w:style>
  <w:style w:type="paragraph" w:customStyle="1" w:styleId="275">
    <w:name w:val="Block"/>
    <w:basedOn w:val="1"/>
    <w:next w:val="123"/>
    <w:qFormat/>
    <w:uiPriority w:val="0"/>
    <w:pPr>
      <w:tabs>
        <w:tab w:val="left" w:pos="0"/>
      </w:tabs>
    </w:pPr>
    <w:rPr>
      <w:rFonts w:ascii="Arial" w:hAnsi="Arial" w:eastAsia="楷体_GB2312"/>
      <w:color w:val="000080"/>
      <w:sz w:val="28"/>
      <w:szCs w:val="28"/>
    </w:rPr>
  </w:style>
  <w:style w:type="paragraph" w:customStyle="1" w:styleId="276">
    <w:name w:val="标题51 Char Char Char"/>
    <w:basedOn w:val="8"/>
    <w:next w:val="8"/>
    <w:qFormat/>
    <w:uiPriority w:val="0"/>
    <w:pPr>
      <w:tabs>
        <w:tab w:val="left" w:pos="1307"/>
      </w:tabs>
      <w:spacing w:beforeLines="50" w:after="120" w:line="360" w:lineRule="auto"/>
      <w:ind w:left="1307" w:hanging="992"/>
    </w:pPr>
    <w:rPr>
      <w:rFonts w:ascii="Tahoma" w:hAnsi="Tahoma" w:eastAsia="黑体"/>
      <w:b w:val="0"/>
      <w:color w:val="000000"/>
      <w:sz w:val="24"/>
      <w:szCs w:val="20"/>
    </w:rPr>
  </w:style>
  <w:style w:type="paragraph" w:customStyle="1" w:styleId="277">
    <w:name w:val="6"/>
    <w:basedOn w:val="1"/>
    <w:qFormat/>
    <w:uiPriority w:val="0"/>
    <w:rPr>
      <w:rFonts w:ascii="Times New Roman" w:hAnsi="Times New Roman"/>
      <w:kern w:val="0"/>
      <w:szCs w:val="20"/>
    </w:rPr>
  </w:style>
  <w:style w:type="paragraph" w:customStyle="1" w:styleId="27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9">
    <w:name w:val="样式 正文缩进表正文正文非缩进段1特点ALT+Z水上软件正文不缩进四号特点 Char CharNormal ..."/>
    <w:basedOn w:val="16"/>
    <w:qFormat/>
    <w:uiPriority w:val="0"/>
    <w:pPr>
      <w:spacing w:line="360" w:lineRule="auto"/>
      <w:ind w:firstLine="560"/>
    </w:pPr>
    <w:rPr>
      <w:rFonts w:ascii="Calibri" w:hAnsi="Calibri" w:eastAsia="仿宋_GB2312" w:cs="宋体"/>
      <w:sz w:val="24"/>
    </w:rPr>
  </w:style>
  <w:style w:type="paragraph" w:customStyle="1" w:styleId="280">
    <w:name w:val="xl29"/>
    <w:basedOn w:val="1"/>
    <w:qFormat/>
    <w:uiPriority w:val="0"/>
    <w:pPr>
      <w:widowControl/>
      <w:spacing w:before="100" w:beforeAutospacing="1" w:after="100" w:afterAutospacing="1"/>
    </w:pPr>
    <w:rPr>
      <w:rFonts w:ascii="宋体" w:hAnsi="宋体"/>
      <w:kern w:val="0"/>
      <w:szCs w:val="21"/>
    </w:rPr>
  </w:style>
  <w:style w:type="paragraph" w:customStyle="1" w:styleId="281">
    <w:name w:val="reader-word-layer reader-word-s10-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图名"/>
    <w:basedOn w:val="16"/>
    <w:qFormat/>
    <w:uiPriority w:val="0"/>
    <w:pPr>
      <w:spacing w:line="360" w:lineRule="auto"/>
      <w:ind w:firstLine="425" w:firstLineChars="0"/>
    </w:pPr>
    <w:rPr>
      <w:rFonts w:ascii="Calibri" w:hAnsi="Calibri" w:cs="Times New Roman"/>
      <w:sz w:val="24"/>
      <w:szCs w:val="20"/>
    </w:rPr>
  </w:style>
  <w:style w:type="paragraph" w:customStyle="1" w:styleId="283">
    <w:name w:val="Item Step in Table"/>
    <w:basedOn w:val="1"/>
    <w:qFormat/>
    <w:uiPriority w:val="0"/>
    <w:pPr>
      <w:tabs>
        <w:tab w:val="left" w:pos="420"/>
      </w:tabs>
      <w:ind w:left="420" w:hanging="420"/>
      <w:jc w:val="left"/>
    </w:pPr>
    <w:rPr>
      <w:rFonts w:ascii="Times New Roman" w:hAnsi="Times New Roman"/>
    </w:rPr>
  </w:style>
  <w:style w:type="paragraph" w:customStyle="1" w:styleId="284">
    <w:name w:val="标题5"/>
    <w:basedOn w:val="16"/>
    <w:next w:val="16"/>
    <w:qFormat/>
    <w:uiPriority w:val="0"/>
    <w:pPr>
      <w:spacing w:line="360" w:lineRule="auto"/>
      <w:ind w:firstLine="0" w:firstLineChars="0"/>
    </w:pPr>
    <w:rPr>
      <w:rFonts w:ascii="Calibri" w:hAnsi="Calibri" w:cs="Times New Roman"/>
      <w:bCs/>
      <w:sz w:val="30"/>
      <w:szCs w:val="20"/>
    </w:rPr>
  </w:style>
  <w:style w:type="paragraph" w:customStyle="1" w:styleId="285">
    <w:name w:val="样式 标题 1H1h1章l1I11st levelHeading 01Header 1Header1Sec...3"/>
    <w:basedOn w:val="3"/>
    <w:qFormat/>
    <w:uiPriority w:val="0"/>
    <w:pPr>
      <w:spacing w:line="576" w:lineRule="auto"/>
    </w:pPr>
    <w:rPr>
      <w:rFonts w:ascii="黑体" w:hAnsi="黑体" w:eastAsia="黑体" w:cs="宋体"/>
      <w:b w:val="0"/>
      <w:sz w:val="36"/>
      <w:szCs w:val="20"/>
    </w:rPr>
  </w:style>
  <w:style w:type="paragraph" w:customStyle="1" w:styleId="286">
    <w:name w:val="正文缩进4格"/>
    <w:basedOn w:val="99"/>
    <w:qFormat/>
    <w:uiPriority w:val="0"/>
    <w:pPr>
      <w:ind w:left="2" w:firstLine="403" w:firstLineChars="192"/>
    </w:pPr>
    <w:rPr>
      <w:sz w:val="21"/>
      <w:szCs w:val="21"/>
    </w:rPr>
  </w:style>
  <w:style w:type="paragraph" w:customStyle="1" w:styleId="287">
    <w:name w:val="段落ma"/>
    <w:basedOn w:val="1"/>
    <w:qFormat/>
    <w:uiPriority w:val="99"/>
    <w:pPr>
      <w:tabs>
        <w:tab w:val="left" w:pos="7200"/>
        <w:tab w:val="left" w:pos="8640"/>
      </w:tabs>
      <w:spacing w:line="360" w:lineRule="auto"/>
      <w:ind w:firstLine="420" w:firstLineChars="200"/>
      <w:jc w:val="left"/>
    </w:pPr>
    <w:rPr>
      <w:rFonts w:ascii="Times New Roman" w:hAnsi="Times New Roman"/>
      <w:szCs w:val="21"/>
    </w:rPr>
  </w:style>
  <w:style w:type="paragraph" w:customStyle="1" w:styleId="288">
    <w:name w:val="样式 标题 3 + 右侧:  0.42 厘米"/>
    <w:basedOn w:val="5"/>
    <w:qFormat/>
    <w:uiPriority w:val="0"/>
    <w:pPr>
      <w:tabs>
        <w:tab w:val="left" w:pos="851"/>
      </w:tabs>
      <w:spacing w:line="413" w:lineRule="auto"/>
    </w:pPr>
    <w:rPr>
      <w:rFonts w:ascii="黑体" w:hAnsi="黑体" w:eastAsia="黑体" w:cs="宋体"/>
      <w:bCs w:val="0"/>
      <w:sz w:val="30"/>
      <w:szCs w:val="20"/>
    </w:rPr>
  </w:style>
  <w:style w:type="paragraph" w:customStyle="1" w:styleId="289">
    <w:name w:val="正文文本缩进2"/>
    <w:basedOn w:val="1"/>
    <w:qFormat/>
    <w:uiPriority w:val="0"/>
    <w:pPr>
      <w:ind w:firstLine="830" w:firstLineChars="352"/>
    </w:pPr>
    <w:rPr>
      <w:rFonts w:ascii="仿宋_GB2312" w:hAnsi="Times New Roman" w:eastAsia="仿宋_GB2312"/>
      <w:sz w:val="32"/>
      <w:szCs w:val="20"/>
    </w:rPr>
  </w:style>
  <w:style w:type="paragraph" w:customStyle="1" w:styleId="290">
    <w:name w:val="s6"/>
    <w:basedOn w:val="1"/>
    <w:qFormat/>
    <w:uiPriority w:val="0"/>
    <w:pPr>
      <w:widowControl/>
      <w:spacing w:before="100" w:beforeAutospacing="1" w:after="100" w:afterAutospacing="1"/>
      <w:jc w:val="left"/>
    </w:pPr>
    <w:rPr>
      <w:rFonts w:ascii="宋体" w:hAnsi="宋体" w:cs="宋体"/>
      <w:kern w:val="0"/>
      <w:sz w:val="24"/>
    </w:rPr>
  </w:style>
  <w:style w:type="paragraph" w:customStyle="1" w:styleId="291">
    <w:name w:val="标准"/>
    <w:basedOn w:val="1"/>
    <w:qFormat/>
    <w:uiPriority w:val="0"/>
    <w:pPr>
      <w:spacing w:line="0" w:lineRule="atLeast"/>
      <w:ind w:left="480" w:firstLine="425"/>
      <w:jc w:val="right"/>
    </w:pPr>
    <w:rPr>
      <w:rFonts w:ascii="宋体" w:hAnsi="Times New Roman"/>
      <w:sz w:val="24"/>
      <w:szCs w:val="20"/>
    </w:rPr>
  </w:style>
  <w:style w:type="paragraph" w:customStyle="1" w:styleId="292">
    <w:name w:val="封面2"/>
    <w:basedOn w:val="33"/>
    <w:qFormat/>
    <w:uiPriority w:val="0"/>
    <w:pPr>
      <w:tabs>
        <w:tab w:val="left" w:pos="840"/>
        <w:tab w:val="right" w:leader="dot" w:pos="8296"/>
      </w:tabs>
      <w:spacing w:before="120" w:after="120" w:line="360" w:lineRule="auto"/>
      <w:ind w:firstLine="425"/>
      <w:jc w:val="center"/>
    </w:pPr>
    <w:rPr>
      <w:rFonts w:eastAsia="黑体"/>
      <w:caps/>
      <w:sz w:val="52"/>
    </w:rPr>
  </w:style>
  <w:style w:type="paragraph" w:customStyle="1" w:styleId="293">
    <w:name w:val="封面1"/>
    <w:basedOn w:val="33"/>
    <w:qFormat/>
    <w:uiPriority w:val="0"/>
    <w:pPr>
      <w:tabs>
        <w:tab w:val="left" w:pos="840"/>
        <w:tab w:val="right" w:leader="dot" w:pos="8296"/>
      </w:tabs>
      <w:spacing w:before="120" w:after="120" w:line="360" w:lineRule="auto"/>
      <w:ind w:firstLine="425"/>
      <w:jc w:val="center"/>
    </w:pPr>
    <w:rPr>
      <w:rFonts w:ascii="黑体" w:eastAsia="黑体"/>
      <w:caps/>
      <w:spacing w:val="50"/>
      <w:sz w:val="52"/>
    </w:rPr>
  </w:style>
  <w:style w:type="paragraph" w:customStyle="1" w:styleId="294">
    <w:name w:val="列出段落1"/>
    <w:basedOn w:val="1"/>
    <w:qFormat/>
    <w:uiPriority w:val="0"/>
    <w:pPr>
      <w:ind w:firstLine="420" w:firstLineChars="200"/>
    </w:pPr>
  </w:style>
  <w:style w:type="paragraph" w:customStyle="1" w:styleId="295">
    <w:name w:val="段落题目MA"/>
    <w:basedOn w:val="287"/>
    <w:qFormat/>
    <w:uiPriority w:val="0"/>
    <w:pPr>
      <w:ind w:firstLine="0" w:firstLineChars="0"/>
    </w:pPr>
    <w:rPr>
      <w:b/>
      <w:sz w:val="24"/>
      <w:szCs w:val="24"/>
    </w:rPr>
  </w:style>
  <w:style w:type="paragraph" w:customStyle="1" w:styleId="29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styleId="29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8">
    <w:name w:val="Char Char Char Char"/>
    <w:basedOn w:val="1"/>
    <w:qFormat/>
    <w:uiPriority w:val="0"/>
    <w:rPr>
      <w:rFonts w:ascii="Tahoma" w:hAnsi="Tahoma"/>
      <w:sz w:val="24"/>
      <w:szCs w:val="20"/>
    </w:rPr>
  </w:style>
  <w:style w:type="paragraph" w:customStyle="1" w:styleId="299">
    <w:name w:val="表内容－居中"/>
    <w:basedOn w:val="1"/>
    <w:qFormat/>
    <w:uiPriority w:val="0"/>
    <w:pPr>
      <w:spacing w:line="400" w:lineRule="exact"/>
      <w:jc w:val="center"/>
    </w:pPr>
    <w:rPr>
      <w:rFonts w:ascii="Times New Roman" w:hAnsi="Times New Roman" w:cs="宋体"/>
      <w:sz w:val="24"/>
      <w:szCs w:val="20"/>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301">
    <w:name w:val="样式 标题 1H1h1章l1I11st levelHeading 01Header 1Header1Sec...2"/>
    <w:basedOn w:val="3"/>
    <w:qFormat/>
    <w:uiPriority w:val="0"/>
    <w:pPr>
      <w:spacing w:line="576" w:lineRule="auto"/>
    </w:pPr>
    <w:rPr>
      <w:rFonts w:ascii="Times New Roman" w:hAnsi="Times New Roman" w:eastAsia="黑体" w:cs="宋体"/>
      <w:b w:val="0"/>
      <w:sz w:val="36"/>
      <w:szCs w:val="20"/>
    </w:rPr>
  </w:style>
  <w:style w:type="paragraph" w:customStyle="1" w:styleId="302">
    <w:name w:val="图表注释"/>
    <w:basedOn w:val="1"/>
    <w:qFormat/>
    <w:uiPriority w:val="0"/>
    <w:pPr>
      <w:spacing w:line="360" w:lineRule="auto"/>
      <w:jc w:val="center"/>
    </w:pPr>
    <w:rPr>
      <w:rFonts w:ascii="宋体" w:hAnsi="宋体"/>
      <w:bCs/>
    </w:rPr>
  </w:style>
  <w:style w:type="paragraph" w:customStyle="1" w:styleId="3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04">
    <w:name w:val="Char1 Char Char Char"/>
    <w:basedOn w:val="1"/>
    <w:qFormat/>
    <w:uiPriority w:val="0"/>
    <w:rPr>
      <w:rFonts w:ascii="Tahoma" w:hAnsi="Tahoma"/>
      <w:sz w:val="24"/>
      <w:szCs w:val="20"/>
    </w:rPr>
  </w:style>
  <w:style w:type="paragraph" w:customStyle="1" w:styleId="305">
    <w:name w:val="目录"/>
    <w:basedOn w:val="1"/>
    <w:qFormat/>
    <w:uiPriority w:val="0"/>
    <w:pPr>
      <w:widowControl/>
      <w:spacing w:line="480" w:lineRule="auto"/>
      <w:jc w:val="center"/>
    </w:pPr>
    <w:rPr>
      <w:rFonts w:ascii="宋体" w:hAnsi="Times New Roman"/>
      <w:b/>
      <w:kern w:val="0"/>
      <w:sz w:val="24"/>
      <w:szCs w:val="20"/>
    </w:rPr>
  </w:style>
  <w:style w:type="paragraph" w:customStyle="1" w:styleId="306">
    <w:name w:val="样式 标题 1H1h1章l1I11st levelHeading 01Header 1Header1Sec..."/>
    <w:basedOn w:val="3"/>
    <w:qFormat/>
    <w:uiPriority w:val="0"/>
    <w:pPr>
      <w:spacing w:line="576" w:lineRule="auto"/>
    </w:pPr>
    <w:rPr>
      <w:rFonts w:ascii="黑体" w:hAnsi="黑体" w:eastAsia="黑体" w:cs="宋体"/>
      <w:b w:val="0"/>
      <w:sz w:val="36"/>
      <w:szCs w:val="20"/>
    </w:rPr>
  </w:style>
  <w:style w:type="paragraph" w:customStyle="1" w:styleId="307">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308">
    <w:name w:val="题注4"/>
    <w:basedOn w:val="1"/>
    <w:next w:val="17"/>
    <w:qFormat/>
    <w:uiPriority w:val="0"/>
    <w:pPr>
      <w:ind w:left="-132" w:leftChars="-64" w:right="-50" w:rightChars="-50" w:hanging="2"/>
      <w:jc w:val="center"/>
    </w:pPr>
    <w:rPr>
      <w:rFonts w:ascii="Times New Roman" w:hAnsi="Times New Roman"/>
      <w:b/>
      <w:color w:val="FF0000"/>
      <w:szCs w:val="20"/>
      <w:lang w:val="en-GB"/>
    </w:rPr>
  </w:style>
  <w:style w:type="paragraph" w:customStyle="1" w:styleId="309">
    <w:name w:val="reader-word-layer reader-word-s10-3"/>
    <w:basedOn w:val="1"/>
    <w:qFormat/>
    <w:uiPriority w:val="0"/>
    <w:pPr>
      <w:widowControl/>
      <w:spacing w:before="100" w:beforeAutospacing="1" w:after="100" w:afterAutospacing="1"/>
      <w:jc w:val="left"/>
    </w:pPr>
    <w:rPr>
      <w:rFonts w:ascii="宋体" w:hAnsi="宋体" w:cs="宋体"/>
      <w:kern w:val="0"/>
      <w:sz w:val="24"/>
    </w:rPr>
  </w:style>
  <w:style w:type="paragraph" w:customStyle="1" w:styleId="310">
    <w:name w:val="段落计量"/>
    <w:basedOn w:val="287"/>
    <w:qFormat/>
    <w:uiPriority w:val="0"/>
    <w:pPr>
      <w:ind w:firstLine="200"/>
    </w:pPr>
    <w:rPr>
      <w:b/>
      <w:sz w:val="24"/>
      <w:szCs w:val="24"/>
    </w:rPr>
  </w:style>
  <w:style w:type="paragraph" w:customStyle="1" w:styleId="311">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2">
    <w:name w:val="修订1"/>
    <w:unhideWhenUsed/>
    <w:qFormat/>
    <w:uiPriority w:val="99"/>
    <w:rPr>
      <w:rFonts w:ascii="Calibri" w:hAnsi="Calibri" w:eastAsia="宋体" w:cs="Times New Roman"/>
      <w:kern w:val="2"/>
      <w:sz w:val="21"/>
      <w:szCs w:val="24"/>
      <w:lang w:val="en-US" w:eastAsia="zh-CN" w:bidi="ar-SA"/>
    </w:rPr>
  </w:style>
  <w:style w:type="paragraph" w:customStyle="1" w:styleId="313">
    <w:name w:val="s8"/>
    <w:basedOn w:val="1"/>
    <w:qFormat/>
    <w:uiPriority w:val="0"/>
    <w:pPr>
      <w:widowControl/>
      <w:spacing w:before="100" w:beforeAutospacing="1" w:after="100" w:afterAutospacing="1"/>
      <w:jc w:val="left"/>
    </w:pPr>
    <w:rPr>
      <w:rFonts w:ascii="宋体" w:hAnsi="宋体" w:cs="宋体"/>
      <w:kern w:val="0"/>
      <w:sz w:val="24"/>
    </w:rPr>
  </w:style>
  <w:style w:type="paragraph" w:customStyle="1" w:styleId="314">
    <w:name w:val="样式 首行缩进:  2 字符"/>
    <w:basedOn w:val="1"/>
    <w:qFormat/>
    <w:uiPriority w:val="0"/>
    <w:pPr>
      <w:spacing w:line="360" w:lineRule="auto"/>
      <w:ind w:firstLine="480" w:firstLineChars="200"/>
    </w:pPr>
    <w:rPr>
      <w:rFonts w:ascii="Times New Roman" w:hAnsi="Times New Roman" w:eastAsia="仿宋_GB2312" w:cs="宋体"/>
      <w:sz w:val="28"/>
      <w:szCs w:val="20"/>
    </w:rPr>
  </w:style>
  <w:style w:type="paragraph" w:customStyle="1" w:styleId="315">
    <w:name w:val="段落1"/>
    <w:basedOn w:val="1"/>
    <w:qFormat/>
    <w:uiPriority w:val="0"/>
    <w:pPr>
      <w:autoSpaceDE w:val="0"/>
      <w:autoSpaceDN w:val="0"/>
      <w:adjustRightInd w:val="0"/>
      <w:spacing w:before="105" w:after="120"/>
    </w:pPr>
    <w:rPr>
      <w:rFonts w:ascii="宋体" w:hAnsi="Times New Roman" w:eastAsia="幼圆"/>
      <w:kern w:val="0"/>
      <w:szCs w:val="20"/>
    </w:rPr>
  </w:style>
  <w:style w:type="paragraph" w:customStyle="1" w:styleId="316">
    <w:name w:val="样式 标题 1H1h1章l1I11st levelHeading 01Header 1Header1Sec...4"/>
    <w:basedOn w:val="3"/>
    <w:qFormat/>
    <w:uiPriority w:val="0"/>
    <w:pPr>
      <w:spacing w:line="576" w:lineRule="auto"/>
    </w:pPr>
    <w:rPr>
      <w:rFonts w:ascii="黑体" w:hAnsi="黑体" w:eastAsia="黑体" w:cs="宋体"/>
      <w:b w:val="0"/>
      <w:sz w:val="36"/>
      <w:szCs w:val="20"/>
    </w:rPr>
  </w:style>
  <w:style w:type="paragraph" w:customStyle="1" w:styleId="317">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31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9">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rPr>
  </w:style>
  <w:style w:type="paragraph" w:customStyle="1" w:styleId="320">
    <w:name w:val="font6"/>
    <w:basedOn w:val="1"/>
    <w:qFormat/>
    <w:uiPriority w:val="0"/>
    <w:pPr>
      <w:widowControl/>
      <w:spacing w:before="100" w:beforeAutospacing="1" w:after="100" w:afterAutospacing="1"/>
      <w:jc w:val="left"/>
    </w:pPr>
    <w:rPr>
      <w:rFonts w:ascii="Times New Roman" w:hAnsi="Times New Roman"/>
      <w:kern w:val="0"/>
      <w:sz w:val="24"/>
    </w:rPr>
  </w:style>
  <w:style w:type="paragraph" w:customStyle="1" w:styleId="321">
    <w:name w:val="列出段落11"/>
    <w:basedOn w:val="1"/>
    <w:qFormat/>
    <w:uiPriority w:val="99"/>
    <w:pPr>
      <w:ind w:firstLine="420" w:firstLineChars="200"/>
    </w:pPr>
  </w:style>
  <w:style w:type="paragraph" w:customStyle="1" w:styleId="322">
    <w:name w:val="样式 标题 4 + (西文) 黑体 加粗"/>
    <w:basedOn w:val="7"/>
    <w:qFormat/>
    <w:uiPriority w:val="0"/>
    <w:pPr>
      <w:keepNext/>
      <w:keepLines/>
      <w:tabs>
        <w:tab w:val="left" w:pos="864"/>
      </w:tabs>
      <w:spacing w:before="280" w:after="290" w:line="372" w:lineRule="auto"/>
      <w:ind w:left="864" w:firstLine="200" w:firstLineChars="200"/>
    </w:pPr>
    <w:rPr>
      <w:rFonts w:ascii="黑体" w:hAnsi="黑体" w:eastAsia="仿宋_GB2312"/>
      <w:b w:val="0"/>
      <w:sz w:val="30"/>
      <w:szCs w:val="28"/>
    </w:rPr>
  </w:style>
  <w:style w:type="paragraph" w:customStyle="1" w:styleId="32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4">
    <w:name w:val="默认段落字体 Para Char"/>
    <w:basedOn w:val="1"/>
    <w:qFormat/>
    <w:uiPriority w:val="0"/>
    <w:rPr>
      <w:rFonts w:ascii="Times New Roman" w:hAnsi="Times New Roman"/>
      <w:sz w:val="30"/>
    </w:rPr>
  </w:style>
  <w:style w:type="paragraph" w:customStyle="1" w:styleId="325">
    <w:name w:val="样式1"/>
    <w:basedOn w:val="1"/>
    <w:qFormat/>
    <w:uiPriority w:val="0"/>
    <w:pPr>
      <w:tabs>
        <w:tab w:val="left" w:pos="7200"/>
        <w:tab w:val="left" w:pos="8640"/>
      </w:tabs>
      <w:spacing w:line="360" w:lineRule="auto"/>
      <w:ind w:firstLine="420" w:firstLineChars="200"/>
    </w:pPr>
    <w:rPr>
      <w:rFonts w:ascii="宋体" w:hAnsi="宋体"/>
      <w:szCs w:val="21"/>
    </w:rPr>
  </w:style>
  <w:style w:type="paragraph" w:customStyle="1" w:styleId="326">
    <w:name w:val="3"/>
    <w:basedOn w:val="1"/>
    <w:next w:val="25"/>
    <w:qFormat/>
    <w:uiPriority w:val="0"/>
    <w:rPr>
      <w:rFonts w:ascii="宋体" w:hAnsi="Courier New"/>
      <w:szCs w:val="20"/>
    </w:rPr>
  </w:style>
  <w:style w:type="paragraph" w:customStyle="1" w:styleId="327">
    <w:name w:val="样式 标题 2H2sect 1.2HD2h2Level 2 Topic Heading2Header 2head...2"/>
    <w:basedOn w:val="4"/>
    <w:qFormat/>
    <w:uiPriority w:val="0"/>
    <w:pPr>
      <w:tabs>
        <w:tab w:val="clear" w:pos="1440"/>
      </w:tabs>
      <w:adjustRightInd/>
      <w:spacing w:line="413" w:lineRule="auto"/>
      <w:ind w:left="0" w:firstLine="0"/>
      <w:textAlignment w:val="auto"/>
    </w:pPr>
    <w:rPr>
      <w:rFonts w:ascii="黑体" w:hAnsi="黑体" w:eastAsia="仿宋_GB2312"/>
      <w:kern w:val="2"/>
      <w:sz w:val="30"/>
      <w:szCs w:val="30"/>
    </w:rPr>
  </w:style>
  <w:style w:type="paragraph" w:customStyle="1" w:styleId="328">
    <w:name w:val="Char Char Char Char Char Char Char"/>
    <w:basedOn w:val="1"/>
    <w:qFormat/>
    <w:uiPriority w:val="0"/>
    <w:rPr>
      <w:rFonts w:ascii="Tahoma" w:hAnsi="Tahoma"/>
      <w:sz w:val="24"/>
      <w:szCs w:val="20"/>
    </w:rPr>
  </w:style>
  <w:style w:type="paragraph" w:customStyle="1" w:styleId="329">
    <w:name w:val="办公自动化专用标题"/>
    <w:basedOn w:val="47"/>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sz w:val="44"/>
    </w:rPr>
  </w:style>
  <w:style w:type="paragraph" w:customStyle="1" w:styleId="330">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331">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32">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333">
    <w:name w:val="msoacetate"/>
    <w:basedOn w:val="1"/>
    <w:qFormat/>
    <w:uiPriority w:val="0"/>
    <w:rPr>
      <w:rFonts w:ascii="Tahoma" w:hAnsi="Tahoma"/>
      <w:sz w:val="18"/>
      <w:szCs w:val="18"/>
    </w:rPr>
  </w:style>
  <w:style w:type="paragraph" w:customStyle="1" w:styleId="33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5">
    <w:name w:val="Char1"/>
    <w:basedOn w:val="1"/>
    <w:qFormat/>
    <w:uiPriority w:val="0"/>
    <w:pPr>
      <w:snapToGrid w:val="0"/>
    </w:pPr>
    <w:rPr>
      <w:rFonts w:ascii="Arial" w:hAnsi="Arial"/>
      <w:szCs w:val="21"/>
    </w:rPr>
  </w:style>
  <w:style w:type="paragraph" w:customStyle="1" w:styleId="336">
    <w:name w:val="reader-word-layer reader-word-s10-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封面_项目建设单位"/>
    <w:basedOn w:val="25"/>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338">
    <w:name w:val="xl26"/>
    <w:basedOn w:val="1"/>
    <w:qFormat/>
    <w:uiPriority w:val="0"/>
    <w:pPr>
      <w:widowControl/>
      <w:spacing w:before="100" w:beforeAutospacing="1" w:after="100" w:afterAutospacing="1"/>
      <w:jc w:val="center"/>
      <w:textAlignment w:val="center"/>
    </w:pPr>
    <w:rPr>
      <w:rFonts w:ascii="宋体" w:hAnsi="宋体"/>
      <w:b/>
      <w:bCs/>
      <w:kern w:val="0"/>
      <w:sz w:val="24"/>
    </w:rPr>
  </w:style>
  <w:style w:type="paragraph" w:customStyle="1" w:styleId="339">
    <w:name w:val="图注"/>
    <w:basedOn w:val="16"/>
    <w:qFormat/>
    <w:uiPriority w:val="0"/>
    <w:pPr>
      <w:spacing w:line="360" w:lineRule="auto"/>
      <w:ind w:firstLine="0" w:firstLineChars="0"/>
      <w:jc w:val="center"/>
    </w:pPr>
    <w:rPr>
      <w:rFonts w:ascii="宋体" w:hAnsi="宋体" w:cs="Times New Roman"/>
      <w:sz w:val="24"/>
    </w:rPr>
  </w:style>
  <w:style w:type="paragraph" w:customStyle="1" w:styleId="340">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41">
    <w:name w:val="表格样式"/>
    <w:basedOn w:val="1"/>
    <w:qFormat/>
    <w:uiPriority w:val="0"/>
    <w:pPr>
      <w:spacing w:line="360" w:lineRule="auto"/>
      <w:ind w:firstLine="425"/>
    </w:pPr>
    <w:rPr>
      <w:rFonts w:ascii="Times New Roman" w:hAnsi="Times New Roman" w:eastAsia="幼圆"/>
      <w:sz w:val="24"/>
      <w:szCs w:val="20"/>
    </w:rPr>
  </w:style>
  <w:style w:type="paragraph" w:customStyle="1" w:styleId="342">
    <w:name w:val="纯文本1"/>
    <w:basedOn w:val="1"/>
    <w:qFormat/>
    <w:uiPriority w:val="0"/>
    <w:rPr>
      <w:rFonts w:ascii="宋体" w:hAnsi="Courier New" w:cs="黑体"/>
      <w:szCs w:val="22"/>
    </w:rPr>
  </w:style>
  <w:style w:type="paragraph" w:customStyle="1" w:styleId="343">
    <w:name w:val="样式3"/>
    <w:basedOn w:val="8"/>
    <w:qFormat/>
    <w:uiPriority w:val="0"/>
    <w:rPr>
      <w:kern w:val="0"/>
    </w:rPr>
  </w:style>
  <w:style w:type="paragraph" w:customStyle="1" w:styleId="344">
    <w:name w:val="样式 标题 2H2sect 1.2HD2h2Level 2 Topic Heading2Header 2head...1"/>
    <w:basedOn w:val="4"/>
    <w:qFormat/>
    <w:uiPriority w:val="0"/>
    <w:pPr>
      <w:tabs>
        <w:tab w:val="clear" w:pos="1440"/>
      </w:tabs>
      <w:adjustRightInd/>
      <w:spacing w:line="413" w:lineRule="auto"/>
      <w:ind w:left="0" w:firstLine="0"/>
      <w:textAlignment w:val="auto"/>
    </w:pPr>
    <w:rPr>
      <w:rFonts w:ascii="黑体" w:hAnsi="黑体" w:eastAsia="仿宋_GB2312"/>
      <w:b w:val="0"/>
      <w:kern w:val="2"/>
      <w:sz w:val="30"/>
      <w:szCs w:val="30"/>
    </w:rPr>
  </w:style>
  <w:style w:type="paragraph" w:customStyle="1" w:styleId="345">
    <w:name w:val="p0"/>
    <w:basedOn w:val="1"/>
    <w:qFormat/>
    <w:uiPriority w:val="0"/>
    <w:pPr>
      <w:widowControl/>
    </w:pPr>
    <w:rPr>
      <w:rFonts w:ascii="Times New Roman" w:hAnsi="Times New Roman"/>
      <w:kern w:val="0"/>
      <w:szCs w:val="21"/>
    </w:rPr>
  </w:style>
  <w:style w:type="paragraph" w:customStyle="1" w:styleId="346">
    <w:name w:val="彩色列表 - 强调文字颜色 11"/>
    <w:basedOn w:val="1"/>
    <w:qFormat/>
    <w:uiPriority w:val="0"/>
    <w:pPr>
      <w:ind w:firstLine="420" w:firstLineChars="200"/>
    </w:pPr>
    <w:rPr>
      <w:rFonts w:ascii="Times New Roman" w:hAnsi="Times New Roman"/>
    </w:rPr>
  </w:style>
  <w:style w:type="paragraph" w:customStyle="1" w:styleId="347">
    <w:name w:val="修订2"/>
    <w:semiHidden/>
    <w:qFormat/>
    <w:uiPriority w:val="99"/>
    <w:rPr>
      <w:rFonts w:ascii="Calibri" w:hAnsi="Calibri" w:eastAsia="宋体" w:cs="Times New Roman"/>
      <w:kern w:val="2"/>
      <w:sz w:val="21"/>
      <w:szCs w:val="24"/>
      <w:lang w:val="en-US" w:eastAsia="zh-CN" w:bidi="ar-SA"/>
    </w:rPr>
  </w:style>
  <w:style w:type="paragraph" w:customStyle="1" w:styleId="348">
    <w:name w:val="Char Char Char"/>
    <w:basedOn w:val="1"/>
    <w:qFormat/>
    <w:uiPriority w:val="0"/>
    <w:pPr>
      <w:widowControl/>
      <w:spacing w:after="160" w:line="360" w:lineRule="auto"/>
      <w:jc w:val="left"/>
    </w:pPr>
    <w:rPr>
      <w:rFonts w:ascii="Verdana" w:hAnsi="Verdana"/>
      <w:kern w:val="0"/>
      <w:szCs w:val="20"/>
      <w:lang w:eastAsia="en-US"/>
    </w:rPr>
  </w:style>
  <w:style w:type="paragraph" w:customStyle="1" w:styleId="34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50">
    <w:name w:val="Char Char2 Char"/>
    <w:basedOn w:val="1"/>
    <w:qFormat/>
    <w:uiPriority w:val="0"/>
    <w:rPr>
      <w:rFonts w:ascii="宋体" w:hAnsi="宋体"/>
      <w:b/>
      <w:sz w:val="28"/>
      <w:szCs w:val="28"/>
    </w:rPr>
  </w:style>
  <w:style w:type="table" w:customStyle="1" w:styleId="351">
    <w:name w:val="网格型1"/>
    <w:basedOn w:val="51"/>
    <w:qFormat/>
    <w:uiPriority w:val="59"/>
    <w:rPr>
      <w:rFonts w:ascii="Calibri" w:hAnsi="Calibri" w:eastAsia="宋体" w:cs="Times New Roman"/>
      <w:kern w:val="2"/>
      <w:sz w:val="21"/>
      <w:szCs w:val="22"/>
    </w:rPr>
    <w:tblPr>
      <w:tblStyle w:val="5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72</Pages>
  <Words>5519</Words>
  <Characters>31459</Characters>
  <Lines>262</Lines>
  <Paragraphs>73</Paragraphs>
  <TotalTime>11</TotalTime>
  <ScaleCrop>false</ScaleCrop>
  <LinksUpToDate>false</LinksUpToDate>
  <CharactersWithSpaces>36905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2020-07-28T01:32:00Z</dcterms:created>
  <dc:creator>User</dc:creator>
  <cp:lastModifiedBy>Administrator</cp:lastModifiedBy>
  <cp:lastPrinted>2019-04-23T07:41:00Z</cp:lastPrinted>
  <dcterms:modified xsi:type="dcterms:W3CDTF">2021-08-13T07:34:04Z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2E914D66B67D4594B30973C85BD5CA1B</vt:lpwstr>
  </property>
</Properties>
</file>