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F84" w:rsidRDefault="00291F84" w:rsidP="00291F84">
      <w:pPr>
        <w:pStyle w:val="1"/>
        <w:wordWrap w:val="0"/>
        <w:adjustRightInd w:val="0"/>
        <w:snapToGrid w:val="0"/>
        <w:spacing w:line="360" w:lineRule="auto"/>
        <w:rPr>
          <w:rFonts w:hAnsi="宋体" w:hint="eastAsia"/>
        </w:rPr>
      </w:pPr>
      <w:bookmarkStart w:id="0" w:name="_Toc64282763"/>
      <w:bookmarkStart w:id="1" w:name="_Toc53201312"/>
      <w:bookmarkStart w:id="2" w:name="_Toc157499510"/>
      <w:bookmarkStart w:id="3" w:name="_Toc53052316"/>
      <w:bookmarkStart w:id="4" w:name="_Toc142726103"/>
      <w:bookmarkStart w:id="5" w:name="_Toc53052435"/>
      <w:bookmarkStart w:id="6" w:name="_Toc393459314"/>
      <w:bookmarkStart w:id="7" w:name="_Toc139102240"/>
      <w:bookmarkStart w:id="8" w:name="_Toc127072480"/>
      <w:bookmarkStart w:id="9" w:name="_Toc40088652"/>
      <w:bookmarkStart w:id="10" w:name="_Toc127072928"/>
      <w:bookmarkStart w:id="11" w:name="_Toc162935725"/>
      <w:bookmarkStart w:id="12" w:name="_Toc139096031"/>
      <w:bookmarkStart w:id="13" w:name="_Toc73867994"/>
      <w:bookmarkStart w:id="14" w:name="_Toc53051673"/>
      <w:bookmarkStart w:id="15" w:name="_Toc186374068"/>
      <w:bookmarkStart w:id="16" w:name="_Toc53051968"/>
      <w:bookmarkStart w:id="17" w:name="_Toc73006893"/>
      <w:bookmarkStart w:id="18" w:name="_Toc53170575"/>
      <w:bookmarkStart w:id="19" w:name="_Toc53200960"/>
      <w:bookmarkStart w:id="20" w:name="_Toc153338886"/>
      <w:bookmarkStart w:id="21" w:name="_Toc85036531"/>
      <w:proofErr w:type="spellStart"/>
      <w:r>
        <w:rPr>
          <w:rFonts w:hAnsi="宋体" w:hint="eastAsia"/>
          <w:sz w:val="44"/>
          <w:szCs w:val="44"/>
        </w:rPr>
        <w:t>第四章</w:t>
      </w:r>
      <w:proofErr w:type="spellEnd"/>
      <w:r>
        <w:rPr>
          <w:rFonts w:hAnsi="宋体" w:hint="eastAsia"/>
          <w:sz w:val="44"/>
          <w:szCs w:val="4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roofErr w:type="spellStart"/>
      <w:r>
        <w:rPr>
          <w:rFonts w:hAnsi="宋体" w:hint="eastAsia"/>
          <w:sz w:val="44"/>
          <w:szCs w:val="44"/>
        </w:rPr>
        <w:t>项目需求</w:t>
      </w:r>
      <w:bookmarkEnd w:id="21"/>
      <w:proofErr w:type="spellEnd"/>
    </w:p>
    <w:p w:rsidR="00291F84" w:rsidRDefault="00291F84" w:rsidP="00291F84">
      <w:pPr>
        <w:spacing w:line="360" w:lineRule="auto"/>
        <w:outlineLvl w:val="2"/>
        <w:rPr>
          <w:rFonts w:ascii="宋体" w:hAnsi="宋体" w:hint="eastAsia"/>
          <w:b/>
          <w:bCs/>
          <w:szCs w:val="21"/>
        </w:rPr>
      </w:pPr>
      <w:bookmarkStart w:id="22" w:name="_Toc364151923"/>
      <w:bookmarkStart w:id="23" w:name="_Toc487208992"/>
      <w:bookmarkStart w:id="24" w:name="_Toc85036532"/>
      <w:r>
        <w:rPr>
          <w:rFonts w:ascii="宋体" w:hAnsi="宋体" w:hint="eastAsia"/>
          <w:b/>
          <w:bCs/>
          <w:szCs w:val="21"/>
        </w:rPr>
        <w:t>一、项目概况</w:t>
      </w:r>
      <w:bookmarkStart w:id="25" w:name="_Toc487209008"/>
      <w:bookmarkEnd w:id="23"/>
      <w:bookmarkEnd w:id="24"/>
    </w:p>
    <w:p w:rsidR="00291F84" w:rsidRDefault="00291F84" w:rsidP="00291F84">
      <w:pPr>
        <w:spacing w:line="360" w:lineRule="auto"/>
        <w:rPr>
          <w:rFonts w:ascii="宋体" w:hAnsi="宋体" w:hint="eastAsia"/>
          <w:b/>
          <w:bCs/>
          <w:szCs w:val="21"/>
        </w:rPr>
      </w:pPr>
      <w:r>
        <w:rPr>
          <w:rFonts w:ascii="宋体" w:hAnsi="宋体"/>
        </w:rPr>
        <w:t>1.</w:t>
      </w:r>
      <w:r>
        <w:rPr>
          <w:rFonts w:ascii="宋体" w:hAnsi="宋体"/>
          <w:b/>
        </w:rPr>
        <w:t>项目背景</w:t>
      </w:r>
    </w:p>
    <w:p w:rsidR="00291F84" w:rsidRDefault="00291F84" w:rsidP="00291F84">
      <w:pPr>
        <w:tabs>
          <w:tab w:val="left" w:pos="1080"/>
        </w:tabs>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2020年12月29日，龙岗区人民政府与香港中文大学（深圳）签署战略合作框架协议。根据协议，双方将合作共建大运深港国际科教城；共建粤港澳国际教育综合改革示范区；共建区域临床数据开发研究中心与</w:t>
      </w:r>
      <w:proofErr w:type="gramStart"/>
      <w:r>
        <w:rPr>
          <w:rFonts w:ascii="宋体" w:hAnsi="宋体" w:cs="宋体" w:hint="eastAsia"/>
          <w:color w:val="000000"/>
          <w:szCs w:val="21"/>
        </w:rPr>
        <w:t>医</w:t>
      </w:r>
      <w:proofErr w:type="gramEnd"/>
      <w:r>
        <w:rPr>
          <w:rFonts w:ascii="宋体" w:hAnsi="宋体" w:cs="宋体" w:hint="eastAsia"/>
          <w:color w:val="000000"/>
          <w:szCs w:val="21"/>
        </w:rPr>
        <w:t>教研产于一体的国际化医学创新研究中心；加大在大数据、云计算、人工智能、5G应用、生物医药等重点产业领域的合作，高品质打造国际化产学研用创新基地；加强科技创新合作共建研究院、创新中心、新型科研机构；加强人才及文化的交流与合作，共建高水平</w:t>
      </w:r>
      <w:proofErr w:type="gramStart"/>
      <w:r>
        <w:rPr>
          <w:rFonts w:ascii="宋体" w:hAnsi="宋体" w:cs="宋体" w:hint="eastAsia"/>
          <w:color w:val="000000"/>
          <w:szCs w:val="21"/>
        </w:rPr>
        <w:t>研究智库以及</w:t>
      </w:r>
      <w:proofErr w:type="gramEnd"/>
      <w:r>
        <w:rPr>
          <w:rFonts w:ascii="宋体" w:hAnsi="宋体" w:cs="宋体" w:hint="eastAsia"/>
          <w:color w:val="000000"/>
          <w:szCs w:val="21"/>
        </w:rPr>
        <w:t>体育科技融合创新发展平台。大运深港国际</w:t>
      </w:r>
      <w:proofErr w:type="gramStart"/>
      <w:r>
        <w:rPr>
          <w:rFonts w:ascii="宋体" w:hAnsi="宋体" w:cs="宋体" w:hint="eastAsia"/>
          <w:color w:val="000000"/>
          <w:szCs w:val="21"/>
        </w:rPr>
        <w:t>科教城</w:t>
      </w:r>
      <w:proofErr w:type="gramEnd"/>
      <w:r>
        <w:rPr>
          <w:rFonts w:ascii="宋体" w:hAnsi="宋体" w:cs="宋体" w:hint="eastAsia"/>
          <w:color w:val="000000"/>
          <w:szCs w:val="21"/>
        </w:rPr>
        <w:t>是龙岗区“十四五”时期及中长期战略行动的重要核心。用好深圳国际大学园、深港国际中心等平台，推动深港两地科研、产业、教育、医疗等资源高效汇聚是深港国际</w:t>
      </w:r>
      <w:proofErr w:type="gramStart"/>
      <w:r>
        <w:rPr>
          <w:rFonts w:ascii="宋体" w:hAnsi="宋体" w:cs="宋体" w:hint="eastAsia"/>
          <w:color w:val="000000"/>
          <w:szCs w:val="21"/>
        </w:rPr>
        <w:t>科教城</w:t>
      </w:r>
      <w:proofErr w:type="gramEnd"/>
      <w:r>
        <w:rPr>
          <w:rFonts w:ascii="宋体" w:hAnsi="宋体" w:cs="宋体" w:hint="eastAsia"/>
          <w:color w:val="000000"/>
          <w:szCs w:val="21"/>
        </w:rPr>
        <w:t>所承担的重要使命 。</w:t>
      </w:r>
    </w:p>
    <w:p w:rsidR="00291F84" w:rsidRDefault="00291F84" w:rsidP="00291F84">
      <w:pPr>
        <w:tabs>
          <w:tab w:val="left" w:pos="540"/>
          <w:tab w:val="left" w:pos="720"/>
          <w:tab w:val="left" w:pos="1080"/>
        </w:tabs>
        <w:spacing w:line="480" w:lineRule="exact"/>
        <w:ind w:firstLineChars="200" w:firstLine="420"/>
        <w:rPr>
          <w:rFonts w:ascii="宋体" w:hAnsi="宋体" w:cs="宋体" w:hint="eastAsia"/>
          <w:color w:val="000000"/>
          <w:szCs w:val="21"/>
        </w:rPr>
      </w:pPr>
      <w:r>
        <w:rPr>
          <w:rFonts w:ascii="宋体" w:hAnsi="宋体" w:cs="宋体" w:hint="eastAsia"/>
          <w:color w:val="000000"/>
          <w:szCs w:val="21"/>
        </w:rPr>
        <w:t>未来大运南片区将作为承载大运深港国际</w:t>
      </w:r>
      <w:proofErr w:type="gramStart"/>
      <w:r>
        <w:rPr>
          <w:rFonts w:ascii="宋体" w:hAnsi="宋体" w:cs="宋体" w:hint="eastAsia"/>
          <w:color w:val="000000"/>
          <w:szCs w:val="21"/>
        </w:rPr>
        <w:t>科教城</w:t>
      </w:r>
      <w:proofErr w:type="gramEnd"/>
      <w:r>
        <w:rPr>
          <w:rFonts w:ascii="宋体" w:hAnsi="宋体" w:cs="宋体" w:hint="eastAsia"/>
          <w:color w:val="000000"/>
          <w:szCs w:val="21"/>
        </w:rPr>
        <w:t>产学研功能的重要片区，在产业基础、土地潜力、交通区位、生态空间等方面发挥支撑作用，有必要通过规划统筹，梳理大运南片区发展诉求，明确其职能定位及功能结构，从而引导各个专项规划协调实施，</w:t>
      </w:r>
      <w:proofErr w:type="gramStart"/>
      <w:r>
        <w:rPr>
          <w:rFonts w:ascii="宋体" w:hAnsi="宋体" w:cs="宋体" w:hint="eastAsia"/>
          <w:color w:val="000000"/>
          <w:szCs w:val="21"/>
        </w:rPr>
        <w:t>支撑深</w:t>
      </w:r>
      <w:proofErr w:type="gramEnd"/>
      <w:r>
        <w:rPr>
          <w:rFonts w:ascii="宋体" w:hAnsi="宋体" w:cs="宋体" w:hint="eastAsia"/>
          <w:color w:val="000000"/>
          <w:szCs w:val="21"/>
        </w:rPr>
        <w:t>港国际</w:t>
      </w:r>
      <w:proofErr w:type="gramStart"/>
      <w:r>
        <w:rPr>
          <w:rFonts w:ascii="宋体" w:hAnsi="宋体" w:cs="宋体" w:hint="eastAsia"/>
          <w:color w:val="000000"/>
          <w:szCs w:val="21"/>
        </w:rPr>
        <w:t>科教城</w:t>
      </w:r>
      <w:proofErr w:type="gramEnd"/>
      <w:r>
        <w:rPr>
          <w:rFonts w:ascii="宋体" w:hAnsi="宋体" w:cs="宋体" w:hint="eastAsia"/>
          <w:color w:val="000000"/>
          <w:szCs w:val="21"/>
        </w:rPr>
        <w:t>及龙岗东部经济产业升级，与大运新城北部及中部片区协同打造大运深港国际科教城、龙岗区未来发展的重要核心。因此，为了更好地贯彻落实粤港澳大湾区、广深港科技创新走廊等重大国家、省战略，积极对接全市东</w:t>
      </w:r>
      <w:proofErr w:type="gramStart"/>
      <w:r>
        <w:rPr>
          <w:rFonts w:ascii="宋体" w:hAnsi="宋体" w:cs="宋体" w:hint="eastAsia"/>
          <w:color w:val="000000"/>
          <w:szCs w:val="21"/>
        </w:rPr>
        <w:t>进发展</w:t>
      </w:r>
      <w:proofErr w:type="gramEnd"/>
      <w:r>
        <w:rPr>
          <w:rFonts w:ascii="宋体" w:hAnsi="宋体" w:cs="宋体" w:hint="eastAsia"/>
          <w:color w:val="000000"/>
          <w:szCs w:val="21"/>
        </w:rPr>
        <w:t>战略，落实新一轮国土空间规划提出的定位要求，服务于提升大运深港国际</w:t>
      </w:r>
      <w:proofErr w:type="gramStart"/>
      <w:r>
        <w:rPr>
          <w:rFonts w:ascii="宋体" w:hAnsi="宋体" w:cs="宋体" w:hint="eastAsia"/>
          <w:color w:val="000000"/>
          <w:szCs w:val="21"/>
        </w:rPr>
        <w:t>科教城</w:t>
      </w:r>
      <w:proofErr w:type="gramEnd"/>
      <w:r>
        <w:rPr>
          <w:rFonts w:ascii="宋体" w:hAnsi="宋体" w:cs="宋体" w:hint="eastAsia"/>
          <w:color w:val="000000"/>
          <w:szCs w:val="21"/>
        </w:rPr>
        <w:t>的发展定位、发展质量和发展动力的背景下，特开展大运南片区规划统筹研究工作，明晰片区战略定位及城市结构。</w:t>
      </w:r>
    </w:p>
    <w:p w:rsidR="00291F84" w:rsidRDefault="00291F84" w:rsidP="00291F84">
      <w:pPr>
        <w:tabs>
          <w:tab w:val="left" w:pos="540"/>
          <w:tab w:val="left" w:pos="720"/>
          <w:tab w:val="left" w:pos="1080"/>
        </w:tabs>
        <w:spacing w:line="480" w:lineRule="exact"/>
        <w:ind w:firstLineChars="200" w:firstLine="420"/>
        <w:rPr>
          <w:rFonts w:ascii="宋体" w:hAnsi="宋体" w:cs="宋体" w:hint="eastAsia"/>
          <w:color w:val="000000"/>
          <w:szCs w:val="21"/>
        </w:rPr>
      </w:pPr>
    </w:p>
    <w:p w:rsidR="00291F84" w:rsidRDefault="00291F84" w:rsidP="00291F84">
      <w:pPr>
        <w:spacing w:line="360" w:lineRule="auto"/>
        <w:outlineLvl w:val="2"/>
        <w:rPr>
          <w:rFonts w:ascii="宋体" w:hAnsi="宋体" w:hint="eastAsia"/>
          <w:b/>
          <w:bCs/>
          <w:szCs w:val="21"/>
        </w:rPr>
      </w:pPr>
      <w:bookmarkStart w:id="26" w:name="_Toc269225690"/>
      <w:bookmarkStart w:id="27" w:name="_Toc85036533"/>
      <w:r>
        <w:rPr>
          <w:rFonts w:ascii="宋体" w:hAnsi="宋体" w:hint="eastAsia"/>
          <w:b/>
          <w:bCs/>
          <w:szCs w:val="21"/>
        </w:rPr>
        <w:t>二、项目技术要求</w:t>
      </w:r>
      <w:bookmarkEnd w:id="26"/>
      <w:bookmarkEnd w:id="27"/>
    </w:p>
    <w:p w:rsidR="00291F84" w:rsidRDefault="00291F84" w:rsidP="00291F84">
      <w:pPr>
        <w:spacing w:line="360" w:lineRule="auto"/>
        <w:ind w:firstLineChars="200" w:firstLine="420"/>
        <w:rPr>
          <w:rFonts w:ascii="宋体" w:hAnsi="宋体" w:hint="eastAsia"/>
          <w:bCs/>
          <w:szCs w:val="21"/>
        </w:rPr>
      </w:pPr>
      <w:r>
        <w:rPr>
          <w:rFonts w:ascii="宋体" w:hAnsi="宋体"/>
          <w:bCs/>
          <w:szCs w:val="21"/>
        </w:rPr>
        <w:t>本次规划统筹的工作内容、深度及成果表达，在符合《深圳市城市规划标准与准则》、《深圳城市更新办法》、《深圳市土地整备利益统筹项目管理办法》等相关政策要求及标准的前提下，做出具备前瞻性、创新性的工作成果。</w:t>
      </w:r>
    </w:p>
    <w:p w:rsidR="00291F84" w:rsidRDefault="00291F84" w:rsidP="00291F84">
      <w:pPr>
        <w:spacing w:line="360" w:lineRule="auto"/>
        <w:rPr>
          <w:rFonts w:ascii="宋体" w:hAnsi="宋体"/>
          <w:bCs/>
          <w:szCs w:val="21"/>
        </w:rPr>
      </w:pPr>
      <w:r>
        <w:rPr>
          <w:rFonts w:ascii="宋体" w:hAnsi="宋体" w:hint="eastAsia"/>
          <w:bCs/>
          <w:szCs w:val="21"/>
        </w:rPr>
        <w:t xml:space="preserve">1. </w:t>
      </w:r>
      <w:r>
        <w:rPr>
          <w:rFonts w:ascii="宋体" w:hAnsi="宋体"/>
          <w:bCs/>
          <w:szCs w:val="21"/>
        </w:rPr>
        <w:t>深入调研，把握问题和诉求</w:t>
      </w:r>
      <w:r>
        <w:rPr>
          <w:rFonts w:ascii="宋体" w:hAnsi="宋体" w:hint="eastAsia"/>
          <w:bCs/>
          <w:szCs w:val="21"/>
        </w:rPr>
        <w:t>：</w:t>
      </w:r>
    </w:p>
    <w:p w:rsidR="00291F84" w:rsidRDefault="00291F84" w:rsidP="00291F84">
      <w:pPr>
        <w:spacing w:line="360" w:lineRule="auto"/>
        <w:ind w:leftChars="100" w:left="735" w:hangingChars="250" w:hanging="525"/>
        <w:rPr>
          <w:rFonts w:ascii="宋体" w:hAnsi="宋体"/>
          <w:bCs/>
          <w:szCs w:val="21"/>
        </w:rPr>
      </w:pPr>
      <w:r>
        <w:rPr>
          <w:rFonts w:ascii="宋体" w:hAnsi="宋体" w:hint="eastAsia"/>
          <w:bCs/>
          <w:szCs w:val="21"/>
        </w:rPr>
        <w:t>（1）</w:t>
      </w:r>
      <w:r>
        <w:rPr>
          <w:rFonts w:ascii="宋体" w:hAnsi="宋体"/>
          <w:bCs/>
          <w:szCs w:val="21"/>
        </w:rPr>
        <w:t>针对规划统筹区域制定现场调研计划，重点摸清片区的现状情况及面临的问题，包括上位规划、经济与产业发展状况、人口社区发展状况、生态基底、空间格局、土</w:t>
      </w:r>
      <w:r>
        <w:rPr>
          <w:rFonts w:ascii="宋体" w:hAnsi="宋体"/>
          <w:bCs/>
          <w:szCs w:val="21"/>
        </w:rPr>
        <w:lastRenderedPageBreak/>
        <w:t>地权属、建筑、交通设施、城市与社区面貌等。</w:t>
      </w:r>
    </w:p>
    <w:p w:rsidR="00291F84" w:rsidRDefault="00291F84" w:rsidP="00291F84">
      <w:pPr>
        <w:spacing w:line="360" w:lineRule="auto"/>
        <w:ind w:leftChars="100" w:left="735" w:hangingChars="250" w:hanging="525"/>
        <w:rPr>
          <w:rFonts w:ascii="宋体" w:hAnsi="宋体"/>
          <w:bCs/>
          <w:szCs w:val="21"/>
        </w:rPr>
      </w:pPr>
      <w:r>
        <w:rPr>
          <w:rFonts w:ascii="宋体" w:hAnsi="宋体" w:hint="eastAsia"/>
          <w:bCs/>
          <w:szCs w:val="21"/>
        </w:rPr>
        <w:t>（2）</w:t>
      </w:r>
      <w:r>
        <w:rPr>
          <w:rFonts w:ascii="宋体" w:hAnsi="宋体"/>
          <w:bCs/>
          <w:szCs w:val="21"/>
        </w:rPr>
        <w:t>同时，面向相关部门、社区等，通过座谈、走访等多种方式了解不同利益主体的实际需求，总结归纳目前地区发展存在的主要问题，以保障项目调研阶段对片区内现状情况与发展需求作到细致与准确无误，为规划研究与未来实施提供坚实的依据与基础。</w:t>
      </w:r>
    </w:p>
    <w:p w:rsidR="00291F84" w:rsidRDefault="00291F84" w:rsidP="00291F84">
      <w:pPr>
        <w:tabs>
          <w:tab w:val="left" w:pos="360"/>
        </w:tabs>
        <w:spacing w:line="360" w:lineRule="auto"/>
        <w:rPr>
          <w:rFonts w:ascii="宋体" w:hAnsi="宋体"/>
          <w:bCs/>
          <w:szCs w:val="21"/>
        </w:rPr>
      </w:pPr>
      <w:r>
        <w:rPr>
          <w:rFonts w:ascii="宋体" w:hAnsi="宋体" w:hint="eastAsia"/>
          <w:bCs/>
          <w:szCs w:val="21"/>
        </w:rPr>
        <w:t xml:space="preserve">2. </w:t>
      </w:r>
      <w:r>
        <w:rPr>
          <w:rFonts w:ascii="宋体" w:hAnsi="宋体"/>
          <w:bCs/>
          <w:szCs w:val="21"/>
        </w:rPr>
        <w:t>区域审视、明确片区规划定位</w:t>
      </w:r>
      <w:r>
        <w:rPr>
          <w:rFonts w:ascii="宋体" w:hAnsi="宋体" w:hint="eastAsia"/>
          <w:bCs/>
          <w:szCs w:val="21"/>
        </w:rPr>
        <w:t>：</w:t>
      </w:r>
    </w:p>
    <w:p w:rsidR="00291F84" w:rsidRDefault="00291F84" w:rsidP="00291F84">
      <w:pPr>
        <w:spacing w:line="360" w:lineRule="auto"/>
        <w:ind w:firstLineChars="150" w:firstLine="315"/>
        <w:rPr>
          <w:rFonts w:ascii="宋体" w:hAnsi="宋体"/>
          <w:bCs/>
          <w:szCs w:val="21"/>
        </w:rPr>
      </w:pPr>
      <w:r>
        <w:rPr>
          <w:rFonts w:ascii="宋体" w:hAnsi="宋体"/>
          <w:bCs/>
          <w:szCs w:val="21"/>
        </w:rPr>
        <w:t>梳理解读相关规划，主要包括《龙岗区国土空间规划（2020~2035）》、涉及本片区及周边片区的法定图则、《龙岗区综合发展规划（2014-2030）》、《大运新城整体城市设计》、《龙岗河沿线城市设计国际咨询》、《龙岗河干流碧道工程概念设计方案整合成果》等相关规划要求。结合相关规划要求、周边片区城市建设及产业发展态势、国家、深圳市和龙岗区相关产业政策和功能引导要求，紧密联系道路交通规划建设实施、轨道站点开通后，大运深港国际科教新城的发展形势，明确片区职能定位及发展战略，判断空间类型及实施强度，结合片区现状建设情况及各专项规划进展情况等因素，提出空间规划结构和总体用地布局。</w:t>
      </w:r>
    </w:p>
    <w:p w:rsidR="00291F84" w:rsidRDefault="00291F84" w:rsidP="00291F84">
      <w:pPr>
        <w:spacing w:line="360" w:lineRule="auto"/>
        <w:rPr>
          <w:rFonts w:ascii="宋体" w:hAnsi="宋体"/>
          <w:bCs/>
          <w:szCs w:val="21"/>
        </w:rPr>
      </w:pPr>
      <w:r>
        <w:rPr>
          <w:rFonts w:ascii="宋体" w:hAnsi="宋体" w:hint="eastAsia"/>
          <w:bCs/>
          <w:szCs w:val="21"/>
        </w:rPr>
        <w:t xml:space="preserve">3. </w:t>
      </w:r>
      <w:r>
        <w:rPr>
          <w:rFonts w:ascii="宋体" w:hAnsi="宋体"/>
          <w:bCs/>
          <w:szCs w:val="21"/>
        </w:rPr>
        <w:t>梳理交通、优化片区交通架构</w:t>
      </w:r>
      <w:r>
        <w:rPr>
          <w:rFonts w:ascii="宋体" w:hAnsi="宋体" w:hint="eastAsia"/>
          <w:bCs/>
          <w:szCs w:val="21"/>
        </w:rPr>
        <w:t>：</w:t>
      </w:r>
    </w:p>
    <w:p w:rsidR="00291F84" w:rsidRDefault="00291F84" w:rsidP="00291F84">
      <w:pPr>
        <w:spacing w:line="360" w:lineRule="auto"/>
        <w:ind w:firstLineChars="150" w:firstLine="315"/>
        <w:rPr>
          <w:rFonts w:ascii="宋体" w:hAnsi="宋体"/>
          <w:bCs/>
          <w:szCs w:val="21"/>
        </w:rPr>
      </w:pPr>
      <w:r>
        <w:rPr>
          <w:rFonts w:ascii="宋体" w:hAnsi="宋体"/>
          <w:bCs/>
          <w:szCs w:val="21"/>
        </w:rPr>
        <w:t>梳理南片区现状交通情况、对接龙岗区东部城市交通体系，结合已有相关轨道交通规划及道路交通改善方案，评估交通现状问题；结合规划职能定位和发展战略及片区山形水系基底特征，从道路交通、慢行系统等方面提出应对策略及改善措施，并合理</w:t>
      </w:r>
      <w:proofErr w:type="gramStart"/>
      <w:r>
        <w:rPr>
          <w:rFonts w:ascii="宋体" w:hAnsi="宋体"/>
          <w:bCs/>
          <w:szCs w:val="21"/>
        </w:rPr>
        <w:t>研判计划各近</w:t>
      </w:r>
      <w:proofErr w:type="gramEnd"/>
      <w:r>
        <w:rPr>
          <w:rFonts w:ascii="宋体" w:hAnsi="宋体"/>
          <w:bCs/>
          <w:szCs w:val="21"/>
        </w:rPr>
        <w:t>远期交通改善方案及项目的时序和进程。</w:t>
      </w:r>
    </w:p>
    <w:p w:rsidR="00291F84" w:rsidRDefault="00291F84" w:rsidP="00291F84">
      <w:pPr>
        <w:tabs>
          <w:tab w:val="left" w:pos="180"/>
          <w:tab w:val="left" w:pos="360"/>
        </w:tabs>
        <w:spacing w:line="360" w:lineRule="auto"/>
        <w:rPr>
          <w:rFonts w:ascii="宋体" w:hAnsi="宋体"/>
          <w:bCs/>
          <w:szCs w:val="21"/>
        </w:rPr>
      </w:pPr>
      <w:r>
        <w:rPr>
          <w:rFonts w:ascii="宋体" w:hAnsi="宋体" w:hint="eastAsia"/>
          <w:bCs/>
          <w:szCs w:val="21"/>
        </w:rPr>
        <w:t xml:space="preserve">4. </w:t>
      </w:r>
      <w:r>
        <w:rPr>
          <w:rFonts w:ascii="宋体" w:hAnsi="宋体"/>
          <w:bCs/>
          <w:szCs w:val="21"/>
        </w:rPr>
        <w:t>多方整合，保证项目规划实施</w:t>
      </w:r>
      <w:r>
        <w:rPr>
          <w:rFonts w:ascii="宋体" w:hAnsi="宋体" w:hint="eastAsia"/>
          <w:bCs/>
          <w:szCs w:val="21"/>
        </w:rPr>
        <w:t>：</w:t>
      </w:r>
    </w:p>
    <w:p w:rsidR="00291F84" w:rsidRDefault="00291F84" w:rsidP="00291F84">
      <w:pPr>
        <w:spacing w:line="360" w:lineRule="auto"/>
        <w:ind w:firstLineChars="150" w:firstLine="315"/>
        <w:rPr>
          <w:rFonts w:ascii="宋体" w:hAnsi="宋体" w:hint="eastAsia"/>
          <w:bCs/>
          <w:szCs w:val="21"/>
        </w:rPr>
      </w:pPr>
      <w:r>
        <w:rPr>
          <w:rFonts w:ascii="宋体" w:hAnsi="宋体"/>
          <w:bCs/>
          <w:szCs w:val="21"/>
        </w:rPr>
        <w:t>对接片区内已有实施项目规划，主要包括《龙城街道嶂背社区土地整备利益统筹项目》、《园山街道保安社区土地整备利益统筹项目》、《三号屠宰场二期土地整备项目》等土地整备项目，《荷坳片区城市更新单元规划》、《坳背片区城市更新单元规划》、《金源工业区城市更新单元规划》、《保安森城工业区城市更新单元规划》、《保安坳一片区城市更新单元规划》、《保安坳二片区城市更新单元规划》、《荷坳金昇厂更新单元规划》、《荷坳旧村城市更新单元规划》等城市更新项目以及《大运AI小镇项目》等综合整治类项目。结合以上项目，充分了解片区内二次开发需求与困境，研究现有土地政策对片区空间释放提供的途径及要求，明确政府、社区权益边界，把畸零、分散的土地整合腾挪为规整、集中的土地。对接法定图则规划，探索在法定图则的刚性管控与弹性管控范围内，融合各方诉求</w:t>
      </w:r>
      <w:r>
        <w:rPr>
          <w:rFonts w:ascii="宋体" w:hAnsi="宋体"/>
          <w:bCs/>
          <w:szCs w:val="21"/>
        </w:rPr>
        <w:t>，寻求规划落地的实施途径，保证大运南片区作为重要产业片区的品质</w:t>
      </w:r>
    </w:p>
    <w:p w:rsidR="00291F84" w:rsidRDefault="00291F84" w:rsidP="00291F84">
      <w:pPr>
        <w:spacing w:line="360" w:lineRule="auto"/>
        <w:ind w:firstLineChars="150" w:firstLine="315"/>
        <w:rPr>
          <w:rFonts w:ascii="宋体" w:hAnsi="宋体" w:hint="eastAsia"/>
          <w:bCs/>
          <w:szCs w:val="21"/>
        </w:rPr>
      </w:pPr>
    </w:p>
    <w:p w:rsidR="00291F84" w:rsidRDefault="00291F84" w:rsidP="00291F84">
      <w:pPr>
        <w:spacing w:line="360" w:lineRule="auto"/>
        <w:outlineLvl w:val="2"/>
        <w:rPr>
          <w:rFonts w:ascii="宋体" w:hAnsi="宋体"/>
          <w:b/>
          <w:bCs/>
          <w:szCs w:val="21"/>
        </w:rPr>
      </w:pPr>
      <w:bookmarkStart w:id="28" w:name="_Toc354571429"/>
      <w:bookmarkStart w:id="29" w:name="_Toc85036534"/>
      <w:r>
        <w:rPr>
          <w:rFonts w:ascii="宋体" w:hAnsi="宋体" w:hint="eastAsia"/>
          <w:b/>
          <w:bCs/>
          <w:szCs w:val="21"/>
        </w:rPr>
        <w:lastRenderedPageBreak/>
        <w:t>三、项目商务要求</w:t>
      </w:r>
      <w:bookmarkEnd w:id="28"/>
      <w:bookmarkEnd w:id="29"/>
      <w:r>
        <w:rPr>
          <w:rFonts w:ascii="宋体" w:hAnsi="宋体" w:hint="eastAsia"/>
          <w:b/>
          <w:bCs/>
          <w:szCs w:val="21"/>
        </w:rPr>
        <w:t xml:space="preserve">  </w:t>
      </w:r>
    </w:p>
    <w:p w:rsidR="00291F84" w:rsidRDefault="00291F84" w:rsidP="00291F84">
      <w:pPr>
        <w:spacing w:line="360" w:lineRule="auto"/>
        <w:rPr>
          <w:rFonts w:ascii="宋体" w:hAnsi="宋体"/>
          <w:bCs/>
          <w:szCs w:val="21"/>
        </w:rPr>
      </w:pPr>
      <w:r>
        <w:rPr>
          <w:rFonts w:ascii="宋体" w:hAnsi="宋体" w:hint="eastAsia"/>
          <w:bCs/>
          <w:szCs w:val="21"/>
        </w:rPr>
        <w:t>1. 合同履行期限：</w:t>
      </w:r>
      <w:r>
        <w:rPr>
          <w:rFonts w:ascii="宋体" w:hAnsi="宋体"/>
          <w:bCs/>
          <w:szCs w:val="21"/>
        </w:rPr>
        <w:t>自合同签订之日起</w:t>
      </w:r>
      <w:r>
        <w:rPr>
          <w:rFonts w:ascii="宋体" w:hAnsi="宋体" w:hint="eastAsia"/>
          <w:bCs/>
          <w:szCs w:val="21"/>
        </w:rPr>
        <w:t>1年</w:t>
      </w:r>
      <w:r>
        <w:rPr>
          <w:rFonts w:ascii="宋体" w:hAnsi="宋体"/>
          <w:bCs/>
          <w:szCs w:val="21"/>
        </w:rPr>
        <w:t>。</w:t>
      </w:r>
    </w:p>
    <w:p w:rsidR="00291F84" w:rsidRDefault="00291F84" w:rsidP="00291F84">
      <w:pPr>
        <w:spacing w:line="360" w:lineRule="auto"/>
        <w:rPr>
          <w:rFonts w:ascii="宋体" w:hAnsi="宋体"/>
          <w:bCs/>
          <w:szCs w:val="21"/>
        </w:rPr>
      </w:pPr>
      <w:r>
        <w:rPr>
          <w:rFonts w:ascii="宋体" w:hAnsi="宋体" w:hint="eastAsia"/>
          <w:bCs/>
          <w:szCs w:val="21"/>
        </w:rPr>
        <w:t xml:space="preserve">2. </w:t>
      </w:r>
      <w:r>
        <w:rPr>
          <w:rFonts w:ascii="宋体" w:hAnsi="宋体"/>
          <w:bCs/>
          <w:szCs w:val="21"/>
        </w:rPr>
        <w:t>具体工作时间和内容安排如下</w:t>
      </w:r>
      <w:r>
        <w:rPr>
          <w:rFonts w:ascii="宋体" w:hAnsi="宋体"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
        <w:gridCol w:w="1317"/>
        <w:gridCol w:w="5045"/>
        <w:gridCol w:w="1215"/>
      </w:tblGrid>
      <w:tr w:rsidR="00291F84" w:rsidTr="00C603E1">
        <w:trPr>
          <w:trHeight w:val="357"/>
          <w:jc w:val="center"/>
        </w:trPr>
        <w:tc>
          <w:tcPr>
            <w:tcW w:w="554"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spacing w:line="360" w:lineRule="auto"/>
              <w:ind w:rightChars="-15" w:right="-31"/>
              <w:jc w:val="center"/>
              <w:rPr>
                <w:rFonts w:ascii="宋体" w:hAnsi="宋体" w:cs="新宋体"/>
                <w:b/>
                <w:szCs w:val="21"/>
              </w:rPr>
            </w:pPr>
            <w:r>
              <w:rPr>
                <w:rFonts w:ascii="宋体" w:hAnsi="宋体" w:cs="新宋体"/>
                <w:b/>
                <w:szCs w:val="21"/>
                <w:lang/>
              </w:rPr>
              <w:t>序号</w:t>
            </w:r>
          </w:p>
        </w:tc>
        <w:tc>
          <w:tcPr>
            <w:tcW w:w="772"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spacing w:line="360" w:lineRule="auto"/>
              <w:ind w:rightChars="-15" w:right="-31"/>
              <w:jc w:val="center"/>
              <w:rPr>
                <w:rFonts w:ascii="宋体" w:hAnsi="宋体" w:cs="新宋体"/>
                <w:b/>
                <w:szCs w:val="21"/>
              </w:rPr>
            </w:pPr>
            <w:r>
              <w:rPr>
                <w:rFonts w:ascii="宋体" w:hAnsi="宋体" w:cs="新宋体"/>
                <w:b/>
                <w:szCs w:val="21"/>
                <w:lang/>
              </w:rPr>
              <w:t>工作阶段</w:t>
            </w:r>
          </w:p>
        </w:tc>
        <w:tc>
          <w:tcPr>
            <w:tcW w:w="2959"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spacing w:line="360" w:lineRule="auto"/>
              <w:ind w:rightChars="-15" w:right="-31"/>
              <w:jc w:val="center"/>
              <w:rPr>
                <w:rFonts w:ascii="宋体" w:hAnsi="宋体" w:cs="新宋体"/>
                <w:b/>
                <w:szCs w:val="21"/>
              </w:rPr>
            </w:pPr>
            <w:r>
              <w:rPr>
                <w:rFonts w:ascii="宋体" w:hAnsi="宋体" w:cs="新宋体"/>
                <w:b/>
                <w:szCs w:val="21"/>
                <w:lang/>
              </w:rPr>
              <w:t>工作内容概要</w:t>
            </w:r>
          </w:p>
        </w:tc>
        <w:tc>
          <w:tcPr>
            <w:tcW w:w="713"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spacing w:line="360" w:lineRule="auto"/>
              <w:ind w:rightChars="-15" w:right="-31"/>
              <w:jc w:val="center"/>
              <w:rPr>
                <w:rFonts w:ascii="宋体" w:hAnsi="宋体" w:cs="新宋体"/>
                <w:b/>
                <w:szCs w:val="21"/>
              </w:rPr>
            </w:pPr>
            <w:r>
              <w:rPr>
                <w:rFonts w:ascii="宋体" w:hAnsi="宋体" w:cs="新宋体"/>
                <w:b/>
                <w:szCs w:val="21"/>
                <w:lang/>
              </w:rPr>
              <w:t>时间</w:t>
            </w:r>
          </w:p>
        </w:tc>
      </w:tr>
      <w:tr w:rsidR="00291F84" w:rsidTr="00C603E1">
        <w:trPr>
          <w:trHeight w:val="794"/>
          <w:jc w:val="center"/>
        </w:trPr>
        <w:tc>
          <w:tcPr>
            <w:tcW w:w="554"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1</w:t>
            </w:r>
          </w:p>
        </w:tc>
        <w:tc>
          <w:tcPr>
            <w:tcW w:w="772"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现状调研</w:t>
            </w:r>
          </w:p>
        </w:tc>
        <w:tc>
          <w:tcPr>
            <w:tcW w:w="2959"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left"/>
              <w:rPr>
                <w:rFonts w:ascii="宋体" w:hAnsi="宋体" w:cs="新宋体"/>
                <w:i/>
                <w:color w:val="000000"/>
                <w:u w:val="single"/>
              </w:rPr>
            </w:pPr>
            <w:r>
              <w:rPr>
                <w:rFonts w:ascii="宋体" w:hAnsi="宋体" w:cs="新宋体"/>
                <w:lang/>
              </w:rPr>
              <w:t>现场调研、部门座谈、相关规划和其它资料收集等现状调查</w:t>
            </w:r>
          </w:p>
        </w:tc>
        <w:tc>
          <w:tcPr>
            <w:tcW w:w="713"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i/>
                <w:color w:val="000000"/>
                <w:u w:val="single"/>
              </w:rPr>
            </w:pPr>
            <w:r>
              <w:rPr>
                <w:rFonts w:ascii="宋体" w:hAnsi="宋体" w:cs="新宋体"/>
                <w:color w:val="000000"/>
                <w:lang/>
              </w:rPr>
              <w:t>1个月</w:t>
            </w:r>
          </w:p>
        </w:tc>
      </w:tr>
      <w:tr w:rsidR="00291F84" w:rsidTr="00C603E1">
        <w:trPr>
          <w:trHeight w:val="794"/>
          <w:jc w:val="center"/>
        </w:trPr>
        <w:tc>
          <w:tcPr>
            <w:tcW w:w="554"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2</w:t>
            </w:r>
          </w:p>
        </w:tc>
        <w:tc>
          <w:tcPr>
            <w:tcW w:w="772"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现状总结</w:t>
            </w:r>
          </w:p>
        </w:tc>
        <w:tc>
          <w:tcPr>
            <w:tcW w:w="2959"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left"/>
              <w:rPr>
                <w:rFonts w:ascii="宋体" w:hAnsi="宋体" w:cs="新宋体"/>
                <w:i/>
                <w:color w:val="000000"/>
                <w:u w:val="single"/>
              </w:rPr>
            </w:pPr>
            <w:r>
              <w:rPr>
                <w:rFonts w:ascii="宋体" w:hAnsi="宋体" w:cs="新宋体"/>
                <w:lang/>
              </w:rPr>
              <w:t>对收集资料进行归纳总结，明晰现实问题，提出初步规划构想</w:t>
            </w:r>
          </w:p>
        </w:tc>
        <w:tc>
          <w:tcPr>
            <w:tcW w:w="713"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i/>
                <w:color w:val="000000"/>
                <w:u w:val="single"/>
              </w:rPr>
            </w:pPr>
            <w:r>
              <w:rPr>
                <w:rFonts w:ascii="宋体" w:hAnsi="宋体" w:cs="新宋体" w:hint="eastAsia"/>
                <w:color w:val="000000"/>
                <w:lang/>
              </w:rPr>
              <w:t>1</w:t>
            </w:r>
            <w:r>
              <w:rPr>
                <w:rFonts w:ascii="宋体" w:hAnsi="宋体" w:cs="新宋体"/>
                <w:color w:val="000000"/>
                <w:lang/>
              </w:rPr>
              <w:t>个月</w:t>
            </w:r>
          </w:p>
        </w:tc>
      </w:tr>
      <w:tr w:rsidR="00291F84" w:rsidTr="00C603E1">
        <w:trPr>
          <w:trHeight w:val="794"/>
          <w:jc w:val="center"/>
        </w:trPr>
        <w:tc>
          <w:tcPr>
            <w:tcW w:w="554"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3</w:t>
            </w:r>
          </w:p>
        </w:tc>
        <w:tc>
          <w:tcPr>
            <w:tcW w:w="772"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规划论证</w:t>
            </w:r>
          </w:p>
        </w:tc>
        <w:tc>
          <w:tcPr>
            <w:tcW w:w="2959"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left"/>
              <w:rPr>
                <w:rFonts w:ascii="宋体" w:hAnsi="宋体" w:cs="新宋体"/>
              </w:rPr>
            </w:pPr>
            <w:r>
              <w:rPr>
                <w:rFonts w:ascii="宋体" w:hAnsi="宋体" w:cs="新宋体"/>
                <w:lang/>
              </w:rPr>
              <w:t>部门座谈，项目对接，提出规划实施路径</w:t>
            </w:r>
          </w:p>
        </w:tc>
        <w:tc>
          <w:tcPr>
            <w:tcW w:w="713"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hint="eastAsia"/>
                <w:color w:val="000000"/>
                <w:lang/>
              </w:rPr>
              <w:t>3</w:t>
            </w:r>
            <w:r>
              <w:rPr>
                <w:rFonts w:ascii="宋体" w:hAnsi="宋体" w:cs="新宋体"/>
                <w:color w:val="000000"/>
                <w:lang/>
              </w:rPr>
              <w:t>个月</w:t>
            </w:r>
          </w:p>
        </w:tc>
      </w:tr>
      <w:tr w:rsidR="00291F84" w:rsidTr="00C603E1">
        <w:trPr>
          <w:trHeight w:val="794"/>
          <w:jc w:val="center"/>
        </w:trPr>
        <w:tc>
          <w:tcPr>
            <w:tcW w:w="554"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hint="eastAsia"/>
                <w:color w:val="000000"/>
                <w:lang/>
              </w:rPr>
            </w:pPr>
            <w:r>
              <w:rPr>
                <w:rFonts w:ascii="宋体" w:hAnsi="宋体" w:cs="新宋体" w:hint="eastAsia"/>
                <w:color w:val="000000"/>
                <w:lang/>
              </w:rPr>
              <w:t>4</w:t>
            </w:r>
          </w:p>
        </w:tc>
        <w:tc>
          <w:tcPr>
            <w:tcW w:w="772"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lang/>
              </w:rPr>
            </w:pPr>
            <w:r>
              <w:rPr>
                <w:rFonts w:ascii="宋体" w:hAnsi="宋体" w:cs="新宋体" w:hint="eastAsia"/>
                <w:color w:val="000000"/>
                <w:lang/>
              </w:rPr>
              <w:t>成果编制</w:t>
            </w:r>
          </w:p>
        </w:tc>
        <w:tc>
          <w:tcPr>
            <w:tcW w:w="2959"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spacing w:line="360" w:lineRule="auto"/>
              <w:jc w:val="left"/>
              <w:rPr>
                <w:rFonts w:ascii="宋体" w:hAnsi="宋体" w:cs="新宋体"/>
                <w:lang/>
              </w:rPr>
            </w:pPr>
            <w:r>
              <w:rPr>
                <w:rFonts w:ascii="宋体" w:hAnsi="宋体" w:cs="新宋体" w:hint="eastAsia"/>
                <w:lang/>
              </w:rPr>
              <w:t>根据现状情况总结、相关部门、项目</w:t>
            </w:r>
            <w:proofErr w:type="gramStart"/>
            <w:r>
              <w:rPr>
                <w:rFonts w:ascii="宋体" w:hAnsi="宋体" w:cs="新宋体" w:hint="eastAsia"/>
                <w:lang/>
              </w:rPr>
              <w:t>内利益</w:t>
            </w:r>
            <w:proofErr w:type="gramEnd"/>
            <w:r>
              <w:rPr>
                <w:rFonts w:ascii="宋体" w:hAnsi="宋体" w:cs="新宋体" w:hint="eastAsia"/>
                <w:lang/>
              </w:rPr>
              <w:t>主体等各方提出的规划实施路径，编制规划成果</w:t>
            </w:r>
          </w:p>
        </w:tc>
        <w:tc>
          <w:tcPr>
            <w:tcW w:w="713"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lang/>
              </w:rPr>
            </w:pPr>
            <w:r>
              <w:rPr>
                <w:rFonts w:ascii="宋体" w:hAnsi="宋体" w:cs="新宋体" w:hint="eastAsia"/>
                <w:color w:val="000000"/>
                <w:lang/>
              </w:rPr>
              <w:t>4个月</w:t>
            </w:r>
          </w:p>
        </w:tc>
      </w:tr>
      <w:tr w:rsidR="00291F84" w:rsidTr="00C603E1">
        <w:trPr>
          <w:trHeight w:val="794"/>
          <w:jc w:val="center"/>
        </w:trPr>
        <w:tc>
          <w:tcPr>
            <w:tcW w:w="554"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4</w:t>
            </w:r>
          </w:p>
        </w:tc>
        <w:tc>
          <w:tcPr>
            <w:tcW w:w="772"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成果验收</w:t>
            </w:r>
          </w:p>
        </w:tc>
        <w:tc>
          <w:tcPr>
            <w:tcW w:w="2959"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spacing w:line="360" w:lineRule="auto"/>
              <w:jc w:val="left"/>
              <w:rPr>
                <w:rFonts w:ascii="宋体" w:hAnsi="宋体" w:cs="新宋体"/>
              </w:rPr>
            </w:pPr>
            <w:r>
              <w:rPr>
                <w:rFonts w:ascii="宋体" w:hAnsi="宋体" w:cs="新宋体"/>
                <w:lang/>
              </w:rPr>
              <w:t>向相关机构进行成果汇报，根据意见反馈进行规划修正</w:t>
            </w:r>
          </w:p>
        </w:tc>
        <w:tc>
          <w:tcPr>
            <w:tcW w:w="713"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hint="eastAsia"/>
                <w:color w:val="000000"/>
                <w:lang/>
              </w:rPr>
              <w:t>2</w:t>
            </w:r>
            <w:r>
              <w:rPr>
                <w:rFonts w:ascii="宋体" w:hAnsi="宋体" w:cs="新宋体"/>
                <w:color w:val="000000"/>
                <w:lang/>
              </w:rPr>
              <w:t>个月</w:t>
            </w:r>
          </w:p>
        </w:tc>
      </w:tr>
      <w:tr w:rsidR="00291F84" w:rsidTr="00C603E1">
        <w:trPr>
          <w:trHeight w:val="794"/>
          <w:jc w:val="center"/>
        </w:trPr>
        <w:tc>
          <w:tcPr>
            <w:tcW w:w="554"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5</w:t>
            </w:r>
          </w:p>
        </w:tc>
        <w:tc>
          <w:tcPr>
            <w:tcW w:w="772"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验收归档</w:t>
            </w:r>
          </w:p>
        </w:tc>
        <w:tc>
          <w:tcPr>
            <w:tcW w:w="2959"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spacing w:line="360" w:lineRule="auto"/>
              <w:jc w:val="left"/>
              <w:rPr>
                <w:rFonts w:ascii="宋体" w:hAnsi="宋体" w:cs="新宋体"/>
              </w:rPr>
            </w:pPr>
            <w:r>
              <w:rPr>
                <w:rFonts w:ascii="宋体" w:hAnsi="宋体" w:cs="新宋体"/>
                <w:lang/>
              </w:rPr>
              <w:t>按合同及工作计划书要求编制符合《深标》的成果</w:t>
            </w:r>
          </w:p>
        </w:tc>
        <w:tc>
          <w:tcPr>
            <w:tcW w:w="713" w:type="pct"/>
            <w:tcBorders>
              <w:top w:val="single" w:sz="4" w:space="0" w:color="auto"/>
              <w:left w:val="single" w:sz="4" w:space="0" w:color="auto"/>
              <w:bottom w:val="single" w:sz="4" w:space="0" w:color="auto"/>
              <w:right w:val="single" w:sz="4" w:space="0" w:color="auto"/>
            </w:tcBorders>
            <w:vAlign w:val="center"/>
          </w:tcPr>
          <w:p w:rsidR="00291F84" w:rsidRDefault="00291F84" w:rsidP="00C603E1">
            <w:pPr>
              <w:adjustRightInd w:val="0"/>
              <w:snapToGrid w:val="0"/>
              <w:spacing w:line="360" w:lineRule="auto"/>
              <w:jc w:val="center"/>
              <w:rPr>
                <w:rFonts w:ascii="宋体" w:hAnsi="宋体" w:cs="新宋体"/>
                <w:color w:val="000000"/>
              </w:rPr>
            </w:pPr>
            <w:r>
              <w:rPr>
                <w:rFonts w:ascii="宋体" w:hAnsi="宋体" w:cs="新宋体"/>
                <w:color w:val="000000"/>
                <w:lang/>
              </w:rPr>
              <w:t>1个月</w:t>
            </w:r>
          </w:p>
        </w:tc>
      </w:tr>
    </w:tbl>
    <w:p w:rsidR="00291F84" w:rsidRDefault="00291F84" w:rsidP="00291F84">
      <w:pPr>
        <w:tabs>
          <w:tab w:val="left" w:pos="180"/>
        </w:tabs>
        <w:spacing w:line="360" w:lineRule="auto"/>
        <w:rPr>
          <w:rFonts w:ascii="宋体" w:hAnsi="宋体" w:cs="宋体" w:hint="eastAsia"/>
          <w:szCs w:val="21"/>
        </w:rPr>
      </w:pPr>
      <w:r>
        <w:rPr>
          <w:rFonts w:ascii="宋体" w:hAnsi="宋体" w:cs="宋体" w:hint="eastAsia"/>
          <w:szCs w:val="21"/>
        </w:rPr>
        <w:t>3. 预期成果：</w:t>
      </w:r>
    </w:p>
    <w:p w:rsidR="00291F84" w:rsidRDefault="00291F84" w:rsidP="00291F84">
      <w:pPr>
        <w:tabs>
          <w:tab w:val="left" w:pos="180"/>
        </w:tabs>
        <w:spacing w:line="360" w:lineRule="auto"/>
        <w:ind w:firstLineChars="150" w:firstLine="315"/>
        <w:rPr>
          <w:rFonts w:ascii="宋体" w:hAnsi="宋体" w:hint="eastAsia"/>
        </w:rPr>
      </w:pPr>
      <w:r>
        <w:rPr>
          <w:rFonts w:ascii="宋体" w:hAnsi="宋体"/>
        </w:rPr>
        <w:t>根据统筹规划的相关要求编制研究成果，成果形式为规划研究报告。主要内容包括：现状概况、相关规划解读、现状问题与分析、规划目标与定位、用地布局、交通组织、规划实施专项等。</w:t>
      </w:r>
    </w:p>
    <w:p w:rsidR="00291F84" w:rsidRDefault="00291F84" w:rsidP="00291F84">
      <w:pPr>
        <w:spacing w:line="360" w:lineRule="auto"/>
        <w:rPr>
          <w:rFonts w:ascii="宋体" w:hAnsi="宋体" w:cs="宋体" w:hint="eastAsia"/>
          <w:szCs w:val="21"/>
        </w:rPr>
      </w:pPr>
      <w:r>
        <w:rPr>
          <w:rFonts w:ascii="宋体" w:hAnsi="宋体" w:cs="宋体" w:hint="eastAsia"/>
          <w:szCs w:val="21"/>
        </w:rPr>
        <w:t xml:space="preserve">4. </w:t>
      </w:r>
      <w:r>
        <w:rPr>
          <w:rFonts w:ascii="宋体" w:hAnsi="宋体" w:cs="宋体"/>
          <w:szCs w:val="21"/>
        </w:rPr>
        <w:t>组织实施要求</w:t>
      </w:r>
      <w:r>
        <w:rPr>
          <w:rFonts w:ascii="宋体" w:hAnsi="宋体" w:cs="宋体" w:hint="eastAsia"/>
          <w:szCs w:val="21"/>
        </w:rPr>
        <w:t>：</w:t>
      </w:r>
    </w:p>
    <w:p w:rsidR="00291F84" w:rsidRDefault="00291F84" w:rsidP="00291F84">
      <w:pPr>
        <w:tabs>
          <w:tab w:val="left" w:pos="360"/>
        </w:tabs>
        <w:spacing w:line="360" w:lineRule="auto"/>
        <w:ind w:leftChars="100" w:left="735" w:hangingChars="250" w:hanging="525"/>
        <w:rPr>
          <w:rFonts w:ascii="宋体" w:hAnsi="宋体" w:cs="宋体"/>
          <w:b/>
          <w:szCs w:val="21"/>
        </w:rPr>
      </w:pPr>
      <w:r>
        <w:rPr>
          <w:rFonts w:ascii="宋体" w:hAnsi="宋体" w:cs="宋体" w:hint="eastAsia"/>
          <w:szCs w:val="21"/>
        </w:rPr>
        <w:t>（1）</w:t>
      </w:r>
      <w:r>
        <w:rPr>
          <w:rFonts w:ascii="宋体" w:hAnsi="宋体" w:cs="宋体"/>
          <w:szCs w:val="21"/>
        </w:rPr>
        <w:t>为确保本次项目投标工作管理规范、实施有力，投标人应成立项目组，按采购人要求完成项目成果。</w:t>
      </w:r>
    </w:p>
    <w:p w:rsidR="00291F84" w:rsidRDefault="00291F84" w:rsidP="00291F84">
      <w:pPr>
        <w:tabs>
          <w:tab w:val="left" w:pos="1080"/>
        </w:tabs>
        <w:spacing w:line="360" w:lineRule="auto"/>
        <w:ind w:leftChars="122" w:left="781" w:hangingChars="250" w:hanging="525"/>
        <w:rPr>
          <w:rFonts w:ascii="宋体" w:hAnsi="宋体" w:hint="eastAsia"/>
        </w:rPr>
      </w:pPr>
      <w:r>
        <w:rPr>
          <w:rFonts w:ascii="宋体" w:hAnsi="宋体" w:cs="宋体" w:hint="eastAsia"/>
          <w:szCs w:val="21"/>
        </w:rPr>
        <w:t>（2）</w:t>
      </w:r>
      <w:r>
        <w:rPr>
          <w:rFonts w:ascii="宋体" w:hAnsi="宋体"/>
        </w:rPr>
        <w:t>投标人须配合采购人组织、举办本项目各工作阶段的汇报、审查、研讨、协调各部门关系、协助收集相关基础数据等工作，并负责解答相关问题。</w:t>
      </w:r>
    </w:p>
    <w:p w:rsidR="00291F84" w:rsidRDefault="00291F84" w:rsidP="00291F84">
      <w:pPr>
        <w:tabs>
          <w:tab w:val="left" w:pos="1080"/>
        </w:tabs>
        <w:spacing w:line="360" w:lineRule="auto"/>
        <w:rPr>
          <w:rFonts w:ascii="宋体" w:hAnsi="宋体" w:hint="eastAsia"/>
        </w:rPr>
      </w:pPr>
      <w:r>
        <w:rPr>
          <w:rFonts w:ascii="宋体" w:hAnsi="宋体" w:hint="eastAsia"/>
        </w:rPr>
        <w:t>5. 成果要求及维护要求：</w:t>
      </w:r>
    </w:p>
    <w:p w:rsidR="00291F84" w:rsidRDefault="00291F84" w:rsidP="00291F84">
      <w:pPr>
        <w:spacing w:line="360" w:lineRule="auto"/>
        <w:ind w:firstLineChars="150" w:firstLine="315"/>
        <w:rPr>
          <w:rFonts w:ascii="宋体" w:hAnsi="宋体" w:hint="eastAsia"/>
        </w:rPr>
      </w:pPr>
      <w:r>
        <w:rPr>
          <w:rFonts w:ascii="宋体" w:hAnsi="宋体"/>
        </w:rPr>
        <w:t>中标单位应在合同规定时间内，将招标范围内所界定的工作完成，在通过双方认可的验收，并将相应的纸质版和电子版成果交付给采购人。成果归采购人所有，中标人未经允许不得擅自泄露。</w:t>
      </w:r>
    </w:p>
    <w:p w:rsidR="00291F84" w:rsidRDefault="00291F84" w:rsidP="00291F84">
      <w:pPr>
        <w:spacing w:line="360" w:lineRule="auto"/>
        <w:rPr>
          <w:rFonts w:ascii="宋体" w:hAnsi="宋体" w:hint="eastAsia"/>
        </w:rPr>
      </w:pPr>
      <w:r>
        <w:rPr>
          <w:rFonts w:ascii="宋体" w:hAnsi="宋体" w:hint="eastAsia"/>
        </w:rPr>
        <w:t>6. 付款方式：</w:t>
      </w:r>
    </w:p>
    <w:p w:rsidR="00291F84" w:rsidRDefault="00291F84" w:rsidP="00291F84">
      <w:pPr>
        <w:spacing w:line="360" w:lineRule="auto"/>
        <w:ind w:firstLineChars="150" w:firstLine="315"/>
        <w:rPr>
          <w:rFonts w:ascii="宋体" w:hAnsi="宋体"/>
        </w:rPr>
      </w:pPr>
      <w:r>
        <w:rPr>
          <w:rFonts w:ascii="宋体" w:hAnsi="宋体"/>
        </w:rPr>
        <w:lastRenderedPageBreak/>
        <w:t>自双方签订合同后</w:t>
      </w:r>
      <w:r>
        <w:rPr>
          <w:rFonts w:ascii="宋体" w:hAnsi="宋体" w:hint="eastAsia"/>
        </w:rPr>
        <w:t>15</w:t>
      </w:r>
      <w:r>
        <w:rPr>
          <w:rFonts w:ascii="宋体" w:hAnsi="宋体"/>
        </w:rPr>
        <w:t>个工作日内，</w:t>
      </w:r>
      <w:r>
        <w:rPr>
          <w:rFonts w:ascii="宋体" w:hAnsi="宋体" w:hint="eastAsia"/>
        </w:rPr>
        <w:t>中标人</w:t>
      </w:r>
      <w:r>
        <w:rPr>
          <w:rFonts w:ascii="宋体" w:hAnsi="宋体"/>
        </w:rPr>
        <w:t>提出付款申请，</w:t>
      </w:r>
      <w:r>
        <w:rPr>
          <w:rFonts w:ascii="宋体" w:hAnsi="宋体" w:hint="eastAsia"/>
        </w:rPr>
        <w:t>采购人</w:t>
      </w:r>
      <w:r>
        <w:rPr>
          <w:rFonts w:ascii="宋体" w:hAnsi="宋体"/>
        </w:rPr>
        <w:t>按照区财政安排该项目的年度资金开展支付工作，支付合同总费用的</w:t>
      </w:r>
      <w:r>
        <w:rPr>
          <w:rFonts w:ascii="宋体" w:hAnsi="宋体" w:hint="eastAsia"/>
        </w:rPr>
        <w:t>3</w:t>
      </w:r>
      <w:r>
        <w:rPr>
          <w:rFonts w:ascii="宋体" w:hAnsi="宋体"/>
        </w:rPr>
        <w:t>0%作为首期款；</w:t>
      </w:r>
      <w:r>
        <w:rPr>
          <w:rFonts w:ascii="宋体" w:hAnsi="宋体" w:hint="eastAsia"/>
        </w:rPr>
        <w:t>中标人提交项目中期成果并通过甲方的初步验收会议审核之日起15个工作日内，中标人</w:t>
      </w:r>
      <w:r>
        <w:rPr>
          <w:rFonts w:ascii="宋体" w:hAnsi="宋体"/>
        </w:rPr>
        <w:t>提出付款申请</w:t>
      </w:r>
      <w:r>
        <w:rPr>
          <w:rFonts w:ascii="宋体" w:hAnsi="宋体" w:hint="eastAsia"/>
        </w:rPr>
        <w:t>，采购人</w:t>
      </w:r>
      <w:r>
        <w:rPr>
          <w:rFonts w:ascii="宋体" w:hAnsi="宋体"/>
        </w:rPr>
        <w:t>按照区财政安排该项目的年度资金开展支付工作，支付合同总费用的40%作为</w:t>
      </w:r>
      <w:r>
        <w:rPr>
          <w:rFonts w:ascii="宋体" w:hAnsi="宋体" w:hint="eastAsia"/>
        </w:rPr>
        <w:t>二期款；中标人</w:t>
      </w:r>
      <w:r>
        <w:rPr>
          <w:rFonts w:ascii="宋体" w:hAnsi="宋体"/>
        </w:rPr>
        <w:t>提交最终成果</w:t>
      </w:r>
      <w:r>
        <w:rPr>
          <w:rFonts w:ascii="宋体" w:hAnsi="宋体" w:hint="eastAsia"/>
        </w:rPr>
        <w:t>并通过采购人终期验收审核</w:t>
      </w:r>
      <w:r>
        <w:rPr>
          <w:rFonts w:ascii="宋体" w:hAnsi="宋体"/>
        </w:rPr>
        <w:t>审议通过</w:t>
      </w:r>
      <w:r>
        <w:rPr>
          <w:rFonts w:ascii="宋体" w:hAnsi="宋体" w:hint="eastAsia"/>
        </w:rPr>
        <w:t>之日起15个工作日内</w:t>
      </w:r>
      <w:r>
        <w:rPr>
          <w:rFonts w:ascii="宋体" w:hAnsi="宋体"/>
        </w:rPr>
        <w:t>，</w:t>
      </w:r>
      <w:r>
        <w:rPr>
          <w:rFonts w:ascii="宋体" w:hAnsi="宋体" w:hint="eastAsia"/>
        </w:rPr>
        <w:t>中标人</w:t>
      </w:r>
      <w:r>
        <w:rPr>
          <w:rFonts w:ascii="宋体" w:hAnsi="宋体"/>
        </w:rPr>
        <w:t>提出付款申请，</w:t>
      </w:r>
      <w:r>
        <w:rPr>
          <w:rFonts w:ascii="宋体" w:hAnsi="宋体" w:hint="eastAsia"/>
        </w:rPr>
        <w:t>采购人</w:t>
      </w:r>
      <w:r>
        <w:rPr>
          <w:rFonts w:ascii="宋体" w:hAnsi="宋体"/>
        </w:rPr>
        <w:t>按照区财政安排该项目的年度资金开展支付工作，支付合同总费用的</w:t>
      </w:r>
      <w:r>
        <w:rPr>
          <w:rFonts w:ascii="宋体" w:hAnsi="宋体" w:hint="eastAsia"/>
        </w:rPr>
        <w:t>30%</w:t>
      </w:r>
      <w:r>
        <w:rPr>
          <w:rFonts w:ascii="宋体" w:hAnsi="宋体"/>
        </w:rPr>
        <w:t>。</w:t>
      </w:r>
    </w:p>
    <w:p w:rsidR="00291F84" w:rsidRDefault="00291F84" w:rsidP="00291F84">
      <w:pPr>
        <w:tabs>
          <w:tab w:val="left" w:pos="1080"/>
        </w:tabs>
        <w:spacing w:line="360" w:lineRule="auto"/>
        <w:rPr>
          <w:rFonts w:ascii="宋体" w:hAnsi="宋体" w:cs="宋体"/>
          <w:szCs w:val="21"/>
        </w:rPr>
      </w:pPr>
    </w:p>
    <w:p w:rsidR="00291F84" w:rsidRDefault="00291F84" w:rsidP="00291F84">
      <w:pPr>
        <w:spacing w:line="360" w:lineRule="auto"/>
        <w:outlineLvl w:val="2"/>
        <w:rPr>
          <w:rFonts w:ascii="宋体" w:hAnsi="宋体"/>
          <w:b/>
          <w:bCs/>
          <w:szCs w:val="21"/>
        </w:rPr>
      </w:pPr>
      <w:bookmarkStart w:id="30" w:name="_Toc269225692"/>
      <w:bookmarkStart w:id="31" w:name="_Toc354571430"/>
      <w:bookmarkStart w:id="32" w:name="_Toc85036535"/>
      <w:r>
        <w:rPr>
          <w:rFonts w:ascii="宋体" w:hAnsi="宋体" w:hint="eastAsia"/>
          <w:b/>
          <w:bCs/>
          <w:szCs w:val="21"/>
        </w:rPr>
        <w:t>四、项目报价要求</w:t>
      </w:r>
      <w:bookmarkEnd w:id="30"/>
      <w:bookmarkEnd w:id="31"/>
      <w:bookmarkEnd w:id="32"/>
    </w:p>
    <w:p w:rsidR="00291F84" w:rsidRDefault="00291F84" w:rsidP="00291F84">
      <w:pPr>
        <w:tabs>
          <w:tab w:val="left" w:pos="426"/>
          <w:tab w:val="left" w:pos="1455"/>
        </w:tabs>
        <w:adjustRightInd w:val="0"/>
        <w:snapToGrid w:val="0"/>
        <w:spacing w:line="360" w:lineRule="auto"/>
        <w:ind w:left="727" w:hangingChars="346" w:hanging="727"/>
        <w:rPr>
          <w:rFonts w:ascii="宋体" w:hAnsi="宋体" w:hint="eastAsia"/>
          <w:szCs w:val="21"/>
        </w:rPr>
      </w:pPr>
      <w:r>
        <w:rPr>
          <w:rFonts w:ascii="宋体" w:hAnsi="宋体" w:hint="eastAsia"/>
          <w:szCs w:val="21"/>
        </w:rPr>
        <w:t xml:space="preserve">    4.1本项目预算金额为人民币</w:t>
      </w:r>
      <w:r>
        <w:rPr>
          <w:rFonts w:ascii="宋体" w:hAnsi="宋体"/>
          <w:szCs w:val="21"/>
        </w:rPr>
        <w:fldChar w:fldCharType="begin"/>
      </w:r>
      <w:r>
        <w:rPr>
          <w:rFonts w:ascii="宋体" w:hAnsi="宋体"/>
          <w:szCs w:val="21"/>
        </w:rPr>
        <w:instrText xml:space="preserve"> </w:instrText>
      </w:r>
      <w:r>
        <w:rPr>
          <w:rFonts w:ascii="宋体" w:hAnsi="宋体" w:hint="eastAsia"/>
          <w:szCs w:val="21"/>
        </w:rPr>
        <w:instrText>= 928,000.00 \* CHINESENUM2</w:instrText>
      </w:r>
      <w:r>
        <w:rPr>
          <w:rFonts w:ascii="宋体" w:hAnsi="宋体"/>
          <w:szCs w:val="21"/>
        </w:rPr>
        <w:instrText xml:space="preserve"> </w:instrText>
      </w:r>
      <w:r>
        <w:rPr>
          <w:rFonts w:ascii="宋体" w:hAnsi="宋体"/>
          <w:szCs w:val="21"/>
        </w:rPr>
        <w:fldChar w:fldCharType="separate"/>
      </w:r>
      <w:r>
        <w:rPr>
          <w:rFonts w:ascii="宋体" w:hAnsi="宋体" w:hint="eastAsia"/>
          <w:szCs w:val="21"/>
          <w:lang w:val="en-US" w:eastAsia="zh-CN"/>
        </w:rPr>
        <w:t>玖拾贰万捌仟</w:t>
      </w:r>
      <w:r>
        <w:rPr>
          <w:rFonts w:ascii="宋体" w:hAnsi="宋体"/>
          <w:szCs w:val="21"/>
        </w:rPr>
        <w:fldChar w:fldCharType="end"/>
      </w:r>
      <w:r>
        <w:rPr>
          <w:rFonts w:ascii="宋体" w:hAnsi="宋体" w:hint="eastAsia"/>
          <w:szCs w:val="21"/>
        </w:rPr>
        <w:t>元整（￥928,000.00）。</w:t>
      </w:r>
    </w:p>
    <w:p w:rsidR="00291F84" w:rsidRDefault="00291F84" w:rsidP="00291F84">
      <w:pPr>
        <w:tabs>
          <w:tab w:val="left" w:pos="426"/>
          <w:tab w:val="left" w:pos="1455"/>
        </w:tabs>
        <w:adjustRightInd w:val="0"/>
        <w:snapToGrid w:val="0"/>
        <w:spacing w:line="360" w:lineRule="auto"/>
        <w:ind w:leftChars="200" w:left="727" w:hangingChars="146" w:hanging="307"/>
        <w:rPr>
          <w:rFonts w:ascii="宋体" w:hAnsi="宋体"/>
          <w:szCs w:val="21"/>
        </w:rPr>
      </w:pPr>
      <w:r>
        <w:rPr>
          <w:rFonts w:ascii="宋体" w:hAnsi="宋体" w:hint="eastAsia"/>
          <w:szCs w:val="21"/>
        </w:rPr>
        <w:t>4.2本项目服务费采用包干制，由投标人根据招标文件所提供的资料自行测算投标报价，投标报价应包括服务成本和企业的利润等一切费用。一经中标，投标报价总价作为中标人与采购人</w:t>
      </w:r>
      <w:proofErr w:type="gramStart"/>
      <w:r>
        <w:rPr>
          <w:rFonts w:ascii="宋体" w:hAnsi="宋体" w:hint="eastAsia"/>
          <w:szCs w:val="21"/>
        </w:rPr>
        <w:t>签定</w:t>
      </w:r>
      <w:proofErr w:type="gramEnd"/>
      <w:r>
        <w:rPr>
          <w:rFonts w:ascii="宋体" w:hAnsi="宋体" w:hint="eastAsia"/>
          <w:szCs w:val="21"/>
        </w:rPr>
        <w:t>的合同金额，合同期限内不做调整。</w:t>
      </w:r>
    </w:p>
    <w:p w:rsidR="00291F84" w:rsidRDefault="00291F84" w:rsidP="00291F84">
      <w:pPr>
        <w:tabs>
          <w:tab w:val="left" w:pos="426"/>
          <w:tab w:val="left" w:pos="1455"/>
        </w:tabs>
        <w:adjustRightInd w:val="0"/>
        <w:snapToGrid w:val="0"/>
        <w:spacing w:line="360" w:lineRule="auto"/>
        <w:ind w:left="727" w:hangingChars="346" w:hanging="727"/>
        <w:rPr>
          <w:rFonts w:ascii="宋体" w:hAnsi="宋体" w:hint="eastAsia"/>
          <w:szCs w:val="21"/>
        </w:rPr>
      </w:pPr>
      <w:r>
        <w:rPr>
          <w:rFonts w:ascii="宋体" w:hAnsi="宋体" w:hint="eastAsia"/>
          <w:szCs w:val="21"/>
        </w:rPr>
        <w:t xml:space="preserve">   4.3投标人应根据本企业/单位的成本自行决定报价，但不得以低于其企业/单位成本的报价投标；投标人的投标报价，应是本项目招标范围和招标文件及合同条款上所列的各项内容中所述的全部，不得以任何理由予以重复，并以投标人在投标文件中提出的综合单价或总价为依据。</w:t>
      </w:r>
    </w:p>
    <w:p w:rsidR="00291F84" w:rsidRDefault="00291F84" w:rsidP="00291F84">
      <w:pPr>
        <w:tabs>
          <w:tab w:val="left" w:pos="426"/>
          <w:tab w:val="left" w:pos="1455"/>
        </w:tabs>
        <w:adjustRightInd w:val="0"/>
        <w:snapToGrid w:val="0"/>
        <w:spacing w:line="360" w:lineRule="auto"/>
        <w:ind w:left="727" w:hangingChars="346" w:hanging="727"/>
        <w:rPr>
          <w:rFonts w:ascii="宋体" w:hAnsi="宋体"/>
          <w:szCs w:val="21"/>
        </w:rPr>
      </w:pPr>
      <w:r>
        <w:rPr>
          <w:rFonts w:ascii="宋体" w:hAnsi="宋体" w:hint="eastAsia"/>
          <w:szCs w:val="21"/>
        </w:rPr>
        <w:t xml:space="preserve">    4.4投标人应充分了解项目的工作内容、要求及任何其它足以影响投标报价的情况，任何因忽视或误解项目情况而导致的索赔或服务期限延长申请将不获批准。</w:t>
      </w:r>
    </w:p>
    <w:p w:rsidR="00291F84" w:rsidRDefault="00291F84" w:rsidP="00291F84">
      <w:pPr>
        <w:tabs>
          <w:tab w:val="left" w:pos="426"/>
          <w:tab w:val="left" w:pos="1455"/>
        </w:tabs>
        <w:adjustRightInd w:val="0"/>
        <w:snapToGrid w:val="0"/>
        <w:spacing w:line="360" w:lineRule="auto"/>
        <w:ind w:left="727" w:hangingChars="346" w:hanging="727"/>
        <w:rPr>
          <w:rFonts w:ascii="宋体" w:hAnsi="宋体" w:hint="eastAsia"/>
          <w:szCs w:val="21"/>
        </w:rPr>
      </w:pPr>
      <w:r>
        <w:rPr>
          <w:rFonts w:ascii="宋体" w:hAnsi="宋体" w:hint="eastAsia"/>
          <w:szCs w:val="21"/>
        </w:rPr>
        <w:t xml:space="preserve">    4.5投标人应提供详细报价清单。投标总报价应等于“详细报价清单”的全部费用之和，应包括但不限于办公场所费用、人工费用、车辆费用、设备工具费及招标代理服务费等项目所需一切费用，含国家规定的所有税费等。投标人在投标报价时必须充分考虑到工资标准调整、物价上涨等影响本项目服务价格的因素，并承担相应的风险；必须按本项目中标价执行，采购人不接受任何价格调整的理由。</w:t>
      </w:r>
    </w:p>
    <w:p w:rsidR="00291F84" w:rsidRDefault="00291F84" w:rsidP="00291F84">
      <w:pPr>
        <w:adjustRightInd w:val="0"/>
        <w:snapToGrid w:val="0"/>
        <w:spacing w:line="360" w:lineRule="auto"/>
        <w:rPr>
          <w:rFonts w:ascii="宋体" w:hAnsi="宋体" w:hint="eastAsia"/>
          <w:szCs w:val="21"/>
        </w:rPr>
      </w:pPr>
      <w:r>
        <w:rPr>
          <w:rFonts w:ascii="宋体" w:hAnsi="宋体" w:hint="eastAsia"/>
          <w:szCs w:val="21"/>
        </w:rPr>
        <w:t xml:space="preserve"> ★ 4.6投标人的报价必须是唯一的，采购人不接受有任何选择的报价。</w:t>
      </w:r>
    </w:p>
    <w:bookmarkEnd w:id="22"/>
    <w:bookmarkEnd w:id="25"/>
    <w:p w:rsidR="007738A9" w:rsidRPr="00291F84" w:rsidRDefault="007738A9"/>
    <w:sectPr w:rsidR="007738A9" w:rsidRPr="00291F84" w:rsidSect="007738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EDA" w:rsidRDefault="006C4EDA" w:rsidP="00291F84">
      <w:r>
        <w:separator/>
      </w:r>
    </w:p>
  </w:endnote>
  <w:endnote w:type="continuationSeparator" w:id="0">
    <w:p w:rsidR="006C4EDA" w:rsidRDefault="006C4EDA" w:rsidP="00291F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EDA" w:rsidRDefault="006C4EDA" w:rsidP="00291F84">
      <w:r>
        <w:separator/>
      </w:r>
    </w:p>
  </w:footnote>
  <w:footnote w:type="continuationSeparator" w:id="0">
    <w:p w:rsidR="006C4EDA" w:rsidRDefault="006C4EDA" w:rsidP="00291F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1F84"/>
    <w:rsid w:val="00291F84"/>
    <w:rsid w:val="006C4EDA"/>
    <w:rsid w:val="007738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F84"/>
    <w:pPr>
      <w:widowControl w:val="0"/>
      <w:jc w:val="both"/>
    </w:pPr>
    <w:rPr>
      <w:rFonts w:ascii="Times New Roman" w:eastAsia="宋体" w:hAnsi="Times New Roman" w:cs="Times New Roman"/>
      <w:szCs w:val="20"/>
    </w:rPr>
  </w:style>
  <w:style w:type="paragraph" w:styleId="1">
    <w:name w:val="heading 1"/>
    <w:basedOn w:val="a"/>
    <w:next w:val="a"/>
    <w:link w:val="1Char"/>
    <w:qFormat/>
    <w:rsid w:val="00291F84"/>
    <w:pPr>
      <w:keepNext/>
      <w:keepLines/>
      <w:spacing w:line="312" w:lineRule="auto"/>
      <w:jc w:val="center"/>
      <w:outlineLvl w:val="0"/>
    </w:pPr>
    <w:rPr>
      <w:rFonts w:ascii="宋体"/>
      <w:b/>
      <w:kern w:val="44"/>
      <w:sz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1F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91F84"/>
    <w:rPr>
      <w:sz w:val="18"/>
      <w:szCs w:val="18"/>
    </w:rPr>
  </w:style>
  <w:style w:type="paragraph" w:styleId="a4">
    <w:name w:val="footer"/>
    <w:basedOn w:val="a"/>
    <w:link w:val="Char0"/>
    <w:uiPriority w:val="99"/>
    <w:semiHidden/>
    <w:unhideWhenUsed/>
    <w:rsid w:val="00291F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91F84"/>
    <w:rPr>
      <w:sz w:val="18"/>
      <w:szCs w:val="18"/>
    </w:rPr>
  </w:style>
  <w:style w:type="character" w:customStyle="1" w:styleId="1Char">
    <w:name w:val="标题 1 Char"/>
    <w:basedOn w:val="a0"/>
    <w:link w:val="1"/>
    <w:rsid w:val="00291F84"/>
    <w:rPr>
      <w:rFonts w:ascii="宋体" w:eastAsia="宋体" w:hAnsi="Times New Roman" w:cs="Times New Roman"/>
      <w:b/>
      <w:kern w:val="44"/>
      <w:sz w:val="36"/>
      <w:szCs w:val="20"/>
      <w:lang/>
    </w:rPr>
  </w:style>
  <w:style w:type="paragraph" w:styleId="a5">
    <w:name w:val="Document Map"/>
    <w:basedOn w:val="a"/>
    <w:link w:val="Char1"/>
    <w:uiPriority w:val="99"/>
    <w:semiHidden/>
    <w:unhideWhenUsed/>
    <w:rsid w:val="00291F84"/>
    <w:rPr>
      <w:rFonts w:ascii="宋体"/>
      <w:sz w:val="18"/>
      <w:szCs w:val="18"/>
    </w:rPr>
  </w:style>
  <w:style w:type="character" w:customStyle="1" w:styleId="Char1">
    <w:name w:val="文档结构图 Char"/>
    <w:basedOn w:val="a0"/>
    <w:link w:val="a5"/>
    <w:uiPriority w:val="99"/>
    <w:semiHidden/>
    <w:rsid w:val="00291F84"/>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499</Words>
  <Characters>2848</Characters>
  <Application>Microsoft Office Word</Application>
  <DocSecurity>0</DocSecurity>
  <Lines>23</Lines>
  <Paragraphs>6</Paragraphs>
  <ScaleCrop>false</ScaleCrop>
  <Company>Microsoft</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2021-10-18T01:26:00Z</dcterms:created>
  <dcterms:modified xsi:type="dcterms:W3CDTF">2021-10-18T01:27:00Z</dcterms:modified>
</cp:coreProperties>
</file>